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262890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268605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71"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71"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242570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UNIVERSAL HEALTH REALTY INCOME TRUST</w:t>
      </w:r>
    </w:p>
    <w:p>
      <w:pPr>
        <w:spacing w:after="0" w:line="31"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228600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tbl>
      <w:tblPr>
        <w:tblLayout w:type="fixed"/>
        <w:tblInd w:w="340" w:type="dxa"/>
        <w:tblCellMar>
          <w:top w:w="0" w:type="dxa"/>
          <w:left w:w="0" w:type="dxa"/>
          <w:bottom w:w="0" w:type="dxa"/>
          <w:right w:w="0" w:type="dxa"/>
        </w:tblCellMar>
      </w:tblPr>
      <w:tr>
        <w:trPr>
          <w:trHeight w:val="216"/>
        </w:trPr>
        <w:tc>
          <w:tcPr>
            <w:tcW w:w="36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3680" w:type="dxa"/>
            <w:vAlign w:val="bottom"/>
          </w:tcPr>
          <w:p>
            <w:pPr>
              <w:jc w:val="right"/>
              <w:ind w:right="1710"/>
              <w:spacing w:after="0"/>
              <w:rPr>
                <w:sz w:val="20"/>
                <w:szCs w:val="20"/>
                <w:color w:val="auto"/>
              </w:rPr>
            </w:pPr>
            <w:r>
              <w:rPr>
                <w:rFonts w:ascii="Times New Roman" w:cs="Times New Roman" w:eastAsia="Times New Roman" w:hAnsi="Times New Roman"/>
                <w:sz w:val="18"/>
                <w:szCs w:val="18"/>
                <w:b w:val="1"/>
                <w:bCs w:val="1"/>
                <w:color w:val="auto"/>
              </w:rPr>
              <w:t>1-9321</w:t>
            </w:r>
          </w:p>
        </w:tc>
        <w:tc>
          <w:tcPr>
            <w:tcW w:w="2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23-6858580</w:t>
            </w:r>
          </w:p>
        </w:tc>
      </w:tr>
      <w:tr>
        <w:trPr>
          <w:trHeight w:val="216"/>
        </w:trPr>
        <w:tc>
          <w:tcPr>
            <w:tcW w:w="36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680" w:type="dxa"/>
            <w:vAlign w:val="bottom"/>
          </w:tcPr>
          <w:p>
            <w:pPr>
              <w:spacing w:after="0"/>
              <w:rPr>
                <w:sz w:val="18"/>
                <w:szCs w:val="18"/>
                <w:color w:val="auto"/>
              </w:rPr>
            </w:pPr>
          </w:p>
        </w:tc>
        <w:tc>
          <w:tcPr>
            <w:tcW w:w="240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52"/>
        </w:trPr>
        <w:tc>
          <w:tcPr>
            <w:tcW w:w="36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368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240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364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rPr>
              <w:t>Universal Corporate Center</w:t>
            </w:r>
          </w:p>
        </w:tc>
        <w:tc>
          <w:tcPr>
            <w:tcW w:w="368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16"/>
        </w:trPr>
        <w:tc>
          <w:tcPr>
            <w:tcW w:w="364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367 South Gulph Road</w:t>
            </w:r>
          </w:p>
        </w:tc>
        <w:tc>
          <w:tcPr>
            <w:tcW w:w="368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29"/>
        </w:trPr>
        <w:tc>
          <w:tcPr>
            <w:tcW w:w="36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King of Prussia, Pennsylvania</w:t>
            </w:r>
          </w:p>
        </w:tc>
        <w:tc>
          <w:tcPr>
            <w:tcW w:w="3680" w:type="dxa"/>
            <w:vAlign w:val="bottom"/>
          </w:tcPr>
          <w:p>
            <w:pPr>
              <w:spacing w:after="0"/>
              <w:rPr>
                <w:sz w:val="19"/>
                <w:szCs w:val="19"/>
                <w:color w:val="auto"/>
              </w:rPr>
            </w:pPr>
          </w:p>
        </w:tc>
        <w:tc>
          <w:tcPr>
            <w:tcW w:w="24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19406</w:t>
            </w:r>
          </w:p>
        </w:tc>
      </w:tr>
      <w:tr>
        <w:trPr>
          <w:trHeight w:val="238"/>
        </w:trPr>
        <w:tc>
          <w:tcPr>
            <w:tcW w:w="364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680" w:type="dxa"/>
            <w:vAlign w:val="bottom"/>
          </w:tcPr>
          <w:p>
            <w:pPr>
              <w:spacing w:after="0"/>
              <w:rPr>
                <w:sz w:val="20"/>
                <w:szCs w:val="20"/>
                <w:color w:val="auto"/>
              </w:rPr>
            </w:pPr>
          </w:p>
        </w:tc>
        <w:tc>
          <w:tcPr>
            <w:tcW w:w="240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40"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(610) 265-0688</w:t>
      </w:r>
    </w:p>
    <w:p>
      <w:pPr>
        <w:spacing w:after="0" w:line="117"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220345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08" w:lineRule="exact"/>
        <w:rPr>
          <w:sz w:val="24"/>
          <w:szCs w:val="24"/>
          <w:color w:val="auto"/>
        </w:rPr>
      </w:pPr>
    </w:p>
    <w:p>
      <w:pPr>
        <w:ind w:left="1100" w:hanging="428"/>
        <w:spacing w:after="0"/>
        <w:tabs>
          <w:tab w:leader="none" w:pos="11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1100" w:hanging="428"/>
        <w:spacing w:after="0"/>
        <w:tabs>
          <w:tab w:leader="none" w:pos="11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1100" w:hanging="428"/>
        <w:spacing w:after="0"/>
        <w:tabs>
          <w:tab w:leader="none" w:pos="11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100" w:firstLine="672"/>
        <w:spacing w:after="0" w:line="407" w:lineRule="auto"/>
        <w:tabs>
          <w:tab w:leader="none" w:pos="10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 w:type="dxa"/>
            <w:vAlign w:val="bottom"/>
          </w:tcPr>
          <w:p>
            <w:pPr>
              <w:spacing w:after="0"/>
              <w:rPr>
                <w:sz w:val="20"/>
                <w:szCs w:val="20"/>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0" w:type="dxa"/>
            <w:vAlign w:val="bottom"/>
          </w:tcPr>
          <w:p>
            <w:pPr>
              <w:spacing w:after="0"/>
              <w:rPr>
                <w:sz w:val="20"/>
                <w:szCs w:val="20"/>
                <w:color w:val="auto"/>
              </w:rPr>
            </w:pP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 of beneficial interest, $0.01 par value</w:t>
            </w:r>
          </w:p>
        </w:tc>
        <w:tc>
          <w:tcPr>
            <w:tcW w:w="38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UHT</w:t>
            </w:r>
          </w:p>
        </w:tc>
        <w:tc>
          <w:tcPr>
            <w:tcW w:w="440" w:type="dxa"/>
            <w:vAlign w:val="bottom"/>
          </w:tcPr>
          <w:p>
            <w:pPr>
              <w:spacing w:after="0"/>
              <w:rPr>
                <w:sz w:val="19"/>
                <w:szCs w:val="19"/>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25"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955675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1020" w:right="560" w:hanging="1011"/>
        <w:spacing w:after="0" w:line="286" w:lineRule="auto"/>
        <w:tabs>
          <w:tab w:leader="none" w:pos="1000" w:val="left"/>
        </w:tabs>
        <w:rPr>
          <w:sz w:val="20"/>
          <w:szCs w:val="20"/>
          <w:color w:val="auto"/>
        </w:rPr>
      </w:pPr>
      <w:r>
        <w:rPr>
          <w:rFonts w:ascii="Times New Roman" w:cs="Times New Roman" w:eastAsia="Times New Roman" w:hAnsi="Times New Roman"/>
          <w:sz w:val="17"/>
          <w:szCs w:val="17"/>
          <w:b w:val="1"/>
          <w:bCs w:val="1"/>
          <w:color w:val="auto"/>
        </w:rPr>
        <w:t>Item 5.02</w:t>
      </w:r>
      <w:r>
        <w:rPr>
          <w:sz w:val="20"/>
          <w:szCs w:val="20"/>
          <w:color w:val="auto"/>
        </w:rPr>
        <w:tab/>
      </w:r>
      <w:r>
        <w:rPr>
          <w:rFonts w:ascii="Times New Roman" w:cs="Times New Roman" w:eastAsia="Times New Roman" w:hAnsi="Times New Roman"/>
          <w:sz w:val="17"/>
          <w:szCs w:val="17"/>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Long-Term Incentive, Annual Restricted Stock Awards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chief element of compensation for our executive officers has historically been the annual granting of long-term incentive awards. As reflected on the table below, on June 10, 2026, the Compensation Committee of the Board of Trustees recommended, and the Board of Trustees granted, restricted stock awards to each of our executive officers. The restricted shares are scheduled to vest on the second anniversary date of the award. Dividends declared by us are accrued and accumulated with respect to these shares and will be paid in the aggregate on the vesting date on the shares that ultimately vest.</w:t>
      </w:r>
    </w:p>
    <w:p>
      <w:pPr>
        <w:spacing w:after="0" w:line="68" w:lineRule="exact"/>
        <w:rPr>
          <w:sz w:val="20"/>
          <w:szCs w:val="20"/>
          <w:color w:val="auto"/>
        </w:rPr>
      </w:pPr>
    </w:p>
    <w:tbl>
      <w:tblPr>
        <w:tblLayout w:type="fixed"/>
        <w:tblInd w:w="209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Shares of Restricted</w:t>
            </w:r>
          </w:p>
        </w:tc>
        <w:tc>
          <w:tcPr>
            <w:tcW w:w="0" w:type="dxa"/>
            <w:vAlign w:val="bottom"/>
          </w:tcPr>
          <w:p>
            <w:pPr>
              <w:spacing w:after="0"/>
              <w:rPr>
                <w:sz w:val="1"/>
                <w:szCs w:val="1"/>
                <w:color w:val="auto"/>
              </w:rPr>
            </w:pPr>
          </w:p>
        </w:tc>
      </w:tr>
      <w:tr>
        <w:trPr>
          <w:trHeight w:val="238"/>
        </w:trPr>
        <w:tc>
          <w:tcPr>
            <w:tcW w:w="1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6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0" w:type="dxa"/>
            <w:vAlign w:val="bottom"/>
          </w:tcPr>
          <w:p>
            <w:pPr>
              <w:spacing w:after="0"/>
              <w:rPr>
                <w:sz w:val="1"/>
                <w:szCs w:val="1"/>
                <w:color w:val="auto"/>
              </w:rPr>
            </w:pPr>
          </w:p>
        </w:tc>
      </w:tr>
      <w:tr>
        <w:trPr>
          <w:trHeight w:val="191"/>
        </w:trPr>
        <w:tc>
          <w:tcPr>
            <w:tcW w:w="1940" w:type="dxa"/>
            <w:vAlign w:val="bottom"/>
            <w:tcBorders>
              <w:left w:val="single" w:sz="8" w:color="auto"/>
              <w:right w:val="single" w:sz="8" w:color="auto"/>
            </w:tcBorders>
          </w:tcPr>
          <w:p>
            <w:pPr>
              <w:spacing w:after="0"/>
              <w:rPr>
                <w:sz w:val="16"/>
                <w:szCs w:val="16"/>
                <w:color w:val="auto"/>
              </w:rPr>
            </w:pPr>
          </w:p>
        </w:tc>
        <w:tc>
          <w:tcPr>
            <w:tcW w:w="35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9"/>
              </w:rPr>
              <w:t>Chairman of the Board, Chief Executive Officer</w:t>
            </w:r>
          </w:p>
        </w:tc>
        <w:tc>
          <w:tcPr>
            <w:tcW w:w="1640" w:type="dxa"/>
            <w:vAlign w:val="bottom"/>
            <w:tcBorders>
              <w:right w:val="single" w:sz="8" w:color="auto"/>
            </w:tcBorders>
          </w:tcPr>
          <w:p>
            <w:pPr>
              <w:jc w:val="right"/>
              <w:ind w:right="550"/>
              <w:spacing w:after="0" w:line="191" w:lineRule="exact"/>
              <w:rPr>
                <w:sz w:val="20"/>
                <w:szCs w:val="20"/>
                <w:color w:val="auto"/>
              </w:rPr>
            </w:pPr>
            <w:r>
              <w:rPr>
                <w:rFonts w:ascii="Times New Roman" w:cs="Times New Roman" w:eastAsia="Times New Roman" w:hAnsi="Times New Roman"/>
                <w:sz w:val="18"/>
                <w:szCs w:val="18"/>
                <w:color w:val="auto"/>
              </w:rPr>
              <w:t>6,247</w:t>
            </w:r>
          </w:p>
        </w:tc>
        <w:tc>
          <w:tcPr>
            <w:tcW w:w="0" w:type="dxa"/>
            <w:vAlign w:val="bottom"/>
          </w:tcPr>
          <w:p>
            <w:pPr>
              <w:spacing w:after="0"/>
              <w:rPr>
                <w:sz w:val="1"/>
                <w:szCs w:val="1"/>
                <w:color w:val="auto"/>
              </w:rPr>
            </w:pPr>
          </w:p>
        </w:tc>
      </w:tr>
      <w:tr>
        <w:trPr>
          <w:trHeight w:val="234"/>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Alan B. Miller</w:t>
            </w:r>
          </w:p>
        </w:tc>
        <w:tc>
          <w:tcPr>
            <w:tcW w:w="3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and President</w:t>
            </w:r>
          </w:p>
        </w:tc>
        <w:tc>
          <w:tcPr>
            <w:tcW w:w="1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940" w:type="dxa"/>
            <w:vAlign w:val="bottom"/>
            <w:tcBorders>
              <w:left w:val="single" w:sz="8" w:color="auto"/>
              <w:right w:val="single" w:sz="8" w:color="auto"/>
            </w:tcBorders>
          </w:tcPr>
          <w:p>
            <w:pPr>
              <w:spacing w:after="0"/>
              <w:rPr>
                <w:sz w:val="16"/>
                <w:szCs w:val="16"/>
                <w:color w:val="auto"/>
              </w:rPr>
            </w:pPr>
          </w:p>
        </w:tc>
        <w:tc>
          <w:tcPr>
            <w:tcW w:w="35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Senior Vice President and Chief Financial</w:t>
            </w:r>
          </w:p>
        </w:tc>
        <w:tc>
          <w:tcPr>
            <w:tcW w:w="1640" w:type="dxa"/>
            <w:vAlign w:val="bottom"/>
            <w:tcBorders>
              <w:right w:val="single" w:sz="8" w:color="auto"/>
            </w:tcBorders>
          </w:tcPr>
          <w:p>
            <w:pPr>
              <w:jc w:val="right"/>
              <w:ind w:right="550"/>
              <w:spacing w:after="0" w:line="191" w:lineRule="exact"/>
              <w:rPr>
                <w:sz w:val="20"/>
                <w:szCs w:val="20"/>
                <w:color w:val="auto"/>
              </w:rPr>
            </w:pPr>
            <w:r>
              <w:rPr>
                <w:rFonts w:ascii="Times New Roman" w:cs="Times New Roman" w:eastAsia="Times New Roman" w:hAnsi="Times New Roman"/>
                <w:sz w:val="18"/>
                <w:szCs w:val="18"/>
                <w:color w:val="auto"/>
              </w:rPr>
              <w:t>3,631</w:t>
            </w:r>
          </w:p>
        </w:tc>
        <w:tc>
          <w:tcPr>
            <w:tcW w:w="0" w:type="dxa"/>
            <w:vAlign w:val="bottom"/>
          </w:tcPr>
          <w:p>
            <w:pPr>
              <w:spacing w:after="0"/>
              <w:rPr>
                <w:sz w:val="1"/>
                <w:szCs w:val="1"/>
                <w:color w:val="auto"/>
              </w:rPr>
            </w:pPr>
          </w:p>
        </w:tc>
      </w:tr>
      <w:tr>
        <w:trPr>
          <w:trHeight w:val="234"/>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Charles F. Boyle</w:t>
            </w:r>
          </w:p>
        </w:tc>
        <w:tc>
          <w:tcPr>
            <w:tcW w:w="3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Officer</w:t>
            </w:r>
          </w:p>
        </w:tc>
        <w:tc>
          <w:tcPr>
            <w:tcW w:w="1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940" w:type="dxa"/>
            <w:vAlign w:val="bottom"/>
            <w:tcBorders>
              <w:left w:val="single" w:sz="8" w:color="auto"/>
              <w:right w:val="single" w:sz="8" w:color="auto"/>
            </w:tcBorders>
          </w:tcPr>
          <w:p>
            <w:pPr>
              <w:spacing w:after="0"/>
              <w:rPr>
                <w:sz w:val="16"/>
                <w:szCs w:val="16"/>
                <w:color w:val="auto"/>
              </w:rPr>
            </w:pPr>
          </w:p>
        </w:tc>
        <w:tc>
          <w:tcPr>
            <w:tcW w:w="35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Senior Vice President - Operations, Treasurer</w:t>
            </w:r>
          </w:p>
        </w:tc>
        <w:tc>
          <w:tcPr>
            <w:tcW w:w="1640" w:type="dxa"/>
            <w:vAlign w:val="bottom"/>
            <w:tcBorders>
              <w:right w:val="single" w:sz="8" w:color="auto"/>
            </w:tcBorders>
          </w:tcPr>
          <w:p>
            <w:pPr>
              <w:jc w:val="right"/>
              <w:ind w:right="550"/>
              <w:spacing w:after="0" w:line="191" w:lineRule="exact"/>
              <w:rPr>
                <w:sz w:val="20"/>
                <w:szCs w:val="20"/>
                <w:color w:val="auto"/>
              </w:rPr>
            </w:pPr>
            <w:r>
              <w:rPr>
                <w:rFonts w:ascii="Times New Roman" w:cs="Times New Roman" w:eastAsia="Times New Roman" w:hAnsi="Times New Roman"/>
                <w:sz w:val="18"/>
                <w:szCs w:val="18"/>
                <w:color w:val="auto"/>
              </w:rPr>
              <w:t>3,631</w:t>
            </w:r>
          </w:p>
        </w:tc>
        <w:tc>
          <w:tcPr>
            <w:tcW w:w="0" w:type="dxa"/>
            <w:vAlign w:val="bottom"/>
          </w:tcPr>
          <w:p>
            <w:pPr>
              <w:spacing w:after="0"/>
              <w:rPr>
                <w:sz w:val="1"/>
                <w:szCs w:val="1"/>
                <w:color w:val="auto"/>
              </w:rPr>
            </w:pPr>
          </w:p>
        </w:tc>
      </w:tr>
      <w:tr>
        <w:trPr>
          <w:trHeight w:val="234"/>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Cheryl K. Ramagano</w:t>
            </w:r>
          </w:p>
        </w:tc>
        <w:tc>
          <w:tcPr>
            <w:tcW w:w="3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and Secretary</w:t>
            </w:r>
          </w:p>
        </w:tc>
        <w:tc>
          <w:tcPr>
            <w:tcW w:w="1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9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Karla J. Peterson</w:t>
            </w:r>
          </w:p>
        </w:tc>
        <w:tc>
          <w:tcPr>
            <w:tcW w:w="3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Vice President, Acquisitions and Development</w:t>
            </w:r>
          </w:p>
        </w:tc>
        <w:tc>
          <w:tcPr>
            <w:tcW w:w="1640" w:type="dxa"/>
            <w:vAlign w:val="bottom"/>
            <w:tcBorders>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1,598</w:t>
            </w:r>
          </w:p>
        </w:tc>
        <w:tc>
          <w:tcPr>
            <w:tcW w:w="0" w:type="dxa"/>
            <w:vAlign w:val="bottom"/>
          </w:tcPr>
          <w:p>
            <w:pPr>
              <w:spacing w:after="0"/>
              <w:rPr>
                <w:sz w:val="1"/>
                <w:szCs w:val="1"/>
                <w:color w:val="auto"/>
              </w:rPr>
            </w:pPr>
          </w:p>
        </w:tc>
      </w:tr>
      <w:tr>
        <w:trPr>
          <w:trHeight w:val="198"/>
        </w:trPr>
        <w:tc>
          <w:tcPr>
            <w:tcW w:w="194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350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10, 2026, Universal Health Realty Income Trust (the “Trust”) held its 2026 Annual Meeting of Stockholders. This year’s Annual Meeting of Stockholders was conducted virtually via a live audio webcast.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Annual Meeting, the Trust’s stockholders: (i) voted to elect two Class I members of the Board of Trustees for a three-year term scheduled to expire at the Trust’s 2029 Annual Meeting of Stockholders; (ii) voted in favor of the nonbinding advisory vote on named executive officer compensation, and;</w:t>
      </w:r>
    </w:p>
    <w:p>
      <w:pPr>
        <w:ind w:firstLine="8"/>
        <w:spacing w:after="0" w:line="487"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voted to ratify the selection of KPMG, LLP, as the Trust’s independent registered public accounting firm for the fiscal year ending December 31, 2026. The final voting results were as follows:</w:t>
      </w:r>
    </w:p>
    <w:tbl>
      <w:tblPr>
        <w:tblLayout w:type="fixed"/>
        <w:tblInd w:w="0" w:type="dxa"/>
        <w:tblCellMar>
          <w:top w:w="0" w:type="dxa"/>
          <w:left w:w="0" w:type="dxa"/>
          <w:bottom w:w="0" w:type="dxa"/>
          <w:right w:w="0" w:type="dxa"/>
        </w:tblCellMar>
      </w:tblPr>
      <w:tr>
        <w:trPr>
          <w:trHeight w:val="199"/>
        </w:trPr>
        <w:tc>
          <w:tcPr>
            <w:tcW w:w="4100" w:type="dxa"/>
            <w:vAlign w:val="bottom"/>
            <w:gridSpan w:val="2"/>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Proposal No. 1: Election of Trustees:</w:t>
            </w:r>
          </w:p>
        </w:tc>
        <w:tc>
          <w:tcPr>
            <w:tcW w:w="16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w w:val="97"/>
              </w:rPr>
              <w:t>Alan B. Miller</w:t>
            </w:r>
          </w:p>
        </w:tc>
        <w:tc>
          <w:tcPr>
            <w:tcW w:w="2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Robert F. McCadden</w:t>
            </w:r>
          </w:p>
        </w:tc>
        <w:tc>
          <w:tcPr>
            <w:tcW w:w="0" w:type="dxa"/>
            <w:vAlign w:val="bottom"/>
          </w:tcPr>
          <w:p>
            <w:pPr>
              <w:spacing w:after="0"/>
              <w:rPr>
                <w:sz w:val="1"/>
                <w:szCs w:val="1"/>
                <w:color w:val="auto"/>
              </w:rPr>
            </w:pPr>
          </w:p>
        </w:tc>
      </w:tr>
      <w:tr>
        <w:trPr>
          <w:trHeight w:val="196"/>
        </w:trPr>
        <w:tc>
          <w:tcPr>
            <w:tcW w:w="2820" w:type="dxa"/>
            <w:vAlign w:val="bottom"/>
            <w:tcBorders>
              <w:top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2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26"/>
        </w:trPr>
        <w:tc>
          <w:tcPr>
            <w:tcW w:w="4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Votes cast in favor</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9,187,560</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8,540,716</w:t>
            </w:r>
          </w:p>
        </w:tc>
        <w:tc>
          <w:tcPr>
            <w:tcW w:w="0" w:type="dxa"/>
            <w:vAlign w:val="bottom"/>
          </w:tcPr>
          <w:p>
            <w:pPr>
              <w:spacing w:after="0"/>
              <w:rPr>
                <w:sz w:val="1"/>
                <w:szCs w:val="1"/>
                <w:color w:val="auto"/>
              </w:rPr>
            </w:pPr>
          </w:p>
        </w:tc>
      </w:tr>
      <w:tr>
        <w:trPr>
          <w:trHeight w:val="216"/>
        </w:trPr>
        <w:tc>
          <w:tcPr>
            <w:tcW w:w="4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Votes cast against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222,081</w:t>
            </w:r>
          </w:p>
        </w:tc>
        <w:tc>
          <w:tcPr>
            <w:tcW w:w="520" w:type="dxa"/>
            <w:vAlign w:val="bottom"/>
          </w:tcPr>
          <w:p>
            <w:pPr>
              <w:spacing w:after="0"/>
              <w:rPr>
                <w:sz w:val="18"/>
                <w:szCs w:val="18"/>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868,560</w:t>
            </w:r>
          </w:p>
        </w:tc>
        <w:tc>
          <w:tcPr>
            <w:tcW w:w="0" w:type="dxa"/>
            <w:vAlign w:val="bottom"/>
          </w:tcPr>
          <w:p>
            <w:pPr>
              <w:spacing w:after="0"/>
              <w:rPr>
                <w:sz w:val="1"/>
                <w:szCs w:val="1"/>
                <w:color w:val="auto"/>
              </w:rPr>
            </w:pPr>
          </w:p>
        </w:tc>
      </w:tr>
      <w:tr>
        <w:trPr>
          <w:trHeight w:val="216"/>
        </w:trPr>
        <w:tc>
          <w:tcPr>
            <w:tcW w:w="4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Votes abstained</w:t>
            </w: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19,835</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20,200</w:t>
            </w:r>
          </w:p>
        </w:tc>
        <w:tc>
          <w:tcPr>
            <w:tcW w:w="0" w:type="dxa"/>
            <w:vAlign w:val="bottom"/>
          </w:tcPr>
          <w:p>
            <w:pPr>
              <w:spacing w:after="0"/>
              <w:rPr>
                <w:sz w:val="1"/>
                <w:szCs w:val="1"/>
                <w:color w:val="auto"/>
              </w:rPr>
            </w:pPr>
          </w:p>
        </w:tc>
      </w:tr>
      <w:tr>
        <w:trPr>
          <w:trHeight w:val="234"/>
        </w:trPr>
        <w:tc>
          <w:tcPr>
            <w:tcW w:w="4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Non-votes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2,233,065</w:t>
            </w:r>
          </w:p>
        </w:tc>
        <w:tc>
          <w:tcPr>
            <w:tcW w:w="520" w:type="dxa"/>
            <w:vAlign w:val="bottom"/>
          </w:tcPr>
          <w:p>
            <w:pPr>
              <w:spacing w:after="0"/>
              <w:rPr>
                <w:sz w:val="20"/>
                <w:szCs w:val="20"/>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2,233,065</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No. 2: The nonbinding advisory vote on named executive officer compensation:</w:t>
      </w:r>
    </w:p>
    <w:p>
      <w:pPr>
        <w:spacing w:after="0" w:line="22"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Votes cast in favor</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8,955,099</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Votes cast against</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418,954</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Votes abstained</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55,422</w:t>
            </w: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Non-votes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2,233,065</w:t>
            </w:r>
          </w:p>
        </w:tc>
      </w:tr>
    </w:tbl>
    <w:p>
      <w:pPr>
        <w:spacing w:after="0" w:line="194"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b w:val="1"/>
          <w:bCs w:val="1"/>
          <w:u w:val="single" w:color="auto"/>
          <w:color w:val="auto"/>
        </w:rPr>
        <w:t>Proposal No. 3: Ratification of the selection of KPMG, LLP, as the Trust’s independent registered public accounting firm for the fiscal year ending December 31, 2026:</w:t>
      </w:r>
    </w:p>
    <w:tbl>
      <w:tblPr>
        <w:tblLayout w:type="fixed"/>
        <w:tblInd w:w="0" w:type="dxa"/>
        <w:tblCellMar>
          <w:top w:w="0" w:type="dxa"/>
          <w:left w:w="0" w:type="dxa"/>
          <w:bottom w:w="0" w:type="dxa"/>
          <w:right w:w="0" w:type="dxa"/>
        </w:tblCellMar>
      </w:tblPr>
      <w:tr>
        <w:trPr>
          <w:trHeight w:val="198"/>
        </w:trPr>
        <w:tc>
          <w:tcPr>
            <w:tcW w:w="3480" w:type="dxa"/>
            <w:vAlign w:val="bottom"/>
          </w:tcPr>
          <w:p>
            <w:pPr>
              <w:ind w:left="100"/>
              <w:spacing w:after="0" w:line="199" w:lineRule="exact"/>
              <w:rPr>
                <w:sz w:val="20"/>
                <w:szCs w:val="20"/>
                <w:color w:val="auto"/>
              </w:rPr>
            </w:pPr>
            <w:r>
              <w:rPr>
                <w:rFonts w:ascii="Times New Roman" w:cs="Times New Roman" w:eastAsia="Times New Roman" w:hAnsi="Times New Roman"/>
                <w:sz w:val="18"/>
                <w:szCs w:val="18"/>
                <w:color w:val="auto"/>
              </w:rPr>
              <w:t>Votes cast in favor</w:t>
            </w:r>
          </w:p>
        </w:tc>
        <w:tc>
          <w:tcPr>
            <w:tcW w:w="7760" w:type="dxa"/>
            <w:vAlign w:val="bottom"/>
          </w:tcPr>
          <w:p>
            <w:pPr>
              <w:jc w:val="right"/>
              <w:ind w:right="4830"/>
              <w:spacing w:after="0" w:line="199" w:lineRule="exact"/>
              <w:rPr>
                <w:sz w:val="20"/>
                <w:szCs w:val="20"/>
                <w:color w:val="auto"/>
              </w:rPr>
            </w:pPr>
            <w:r>
              <w:rPr>
                <w:rFonts w:ascii="Times New Roman" w:cs="Times New Roman" w:eastAsia="Times New Roman" w:hAnsi="Times New Roman"/>
                <w:sz w:val="18"/>
                <w:szCs w:val="18"/>
                <w:color w:val="auto"/>
              </w:rPr>
              <w:t>11,525,347</w:t>
            </w:r>
          </w:p>
        </w:tc>
      </w:tr>
      <w:tr>
        <w:trPr>
          <w:trHeight w:val="216"/>
        </w:trPr>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Votes cast against</w:t>
            </w:r>
          </w:p>
        </w:tc>
        <w:tc>
          <w:tcPr>
            <w:tcW w:w="776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114,360</w:t>
            </w:r>
          </w:p>
        </w:tc>
      </w:tr>
      <w:tr>
        <w:trPr>
          <w:trHeight w:val="216"/>
        </w:trPr>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Votes abstained</w:t>
            </w:r>
          </w:p>
        </w:tc>
        <w:tc>
          <w:tcPr>
            <w:tcW w:w="776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22,834</w:t>
            </w:r>
          </w:p>
        </w:tc>
      </w:tr>
      <w:tr>
        <w:trPr>
          <w:trHeight w:val="234"/>
        </w:trPr>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Non-votes</w:t>
            </w:r>
          </w:p>
        </w:tc>
        <w:tc>
          <w:tcPr>
            <w:tcW w:w="776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0</w:t>
            </w:r>
          </w:p>
        </w:tc>
      </w:tr>
      <w:tr>
        <w:trPr>
          <w:trHeight w:val="1411"/>
        </w:trPr>
        <w:tc>
          <w:tcPr>
            <w:tcW w:w="34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UNIVERSAL HEALTH REALTY INCOME TRUST</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11, 2026</w:t>
            </w:r>
          </w:p>
        </w:tc>
        <w:tc>
          <w:tcPr>
            <w:tcW w:w="27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Charles F. Boyle</w:t>
            </w:r>
          </w:p>
        </w:tc>
      </w:tr>
      <w:tr>
        <w:trPr>
          <w:trHeight w:val="191"/>
        </w:trPr>
        <w:tc>
          <w:tcPr>
            <w:tcW w:w="3500" w:type="dxa"/>
            <w:vAlign w:val="bottom"/>
          </w:tcPr>
          <w:p>
            <w:pPr>
              <w:spacing w:after="0"/>
              <w:rPr>
                <w:sz w:val="16"/>
                <w:szCs w:val="16"/>
                <w:color w:val="auto"/>
              </w:rPr>
            </w:pPr>
          </w:p>
        </w:tc>
        <w:tc>
          <w:tcPr>
            <w:tcW w:w="2780" w:type="dxa"/>
            <w:vAlign w:val="bottom"/>
          </w:tcPr>
          <w:p>
            <w:pPr>
              <w:ind w:left="20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Charles F. Boyle</w:t>
            </w:r>
          </w:p>
        </w:tc>
      </w:tr>
      <w:tr>
        <w:trPr>
          <w:trHeight w:val="234"/>
        </w:trPr>
        <w:tc>
          <w:tcPr>
            <w:tcW w:w="3500" w:type="dxa"/>
            <w:vAlign w:val="bottom"/>
          </w:tcPr>
          <w:p>
            <w:pPr>
              <w:spacing w:after="0"/>
              <w:rPr>
                <w:sz w:val="20"/>
                <w:szCs w:val="20"/>
                <w:color w:val="auto"/>
              </w:rPr>
            </w:pPr>
          </w:p>
        </w:tc>
        <w:tc>
          <w:tcPr>
            <w:tcW w:w="27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1411"/>
        </w:trPr>
        <w:tc>
          <w:tcPr>
            <w:tcW w:w="350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2026-06-11T15:20:39Z</dcterms:created>
  <dcterms:modified xsi:type="dcterms:W3CDTF">2026-06-11T15:20:39Z</dcterms:modified>
</cp:coreProperties>
</file>