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uht-20260630.htm"/>
      <w:bookmarkStart w:id="1" w:name="ksuht20260630"/>
      <w:bookmarkEnd w:id="0"/>
      <w:bookmarkEnd w:id="1"/>
      <w:r>
        <w:rPr/>
        <w:t> </w:t>
      </w:r>
    </w:p>
    <w:p>
      <w:pPr>
        <w:pStyle w:val="TextBody"/>
        <w:bidi w:val="0"/>
        <w:spacing w:before="80" w:after="283"/>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0"/>
        </w:rPr>
      </w:pPr>
      <w:r>
        <w:rPr>
          <w:rFonts w:ascii="Times New Roman" w:hAnsi="Times New Roman"/>
          <w:b/>
          <w:color w:val="000000"/>
          <w:sz w:val="30"/>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1-9321</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UNIVERSAL HEALTH REALTY INCOME TRUST</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038" w:type="dxa"/>
        <w:jc w:val="left"/>
        <w:tblInd w:w="0" w:type="dxa"/>
        <w:tblLayout w:type="fixed"/>
        <w:tblCellMar>
          <w:top w:w="28" w:type="dxa"/>
          <w:left w:w="28" w:type="dxa"/>
          <w:bottom w:w="28" w:type="dxa"/>
          <w:right w:w="28" w:type="dxa"/>
        </w:tblCellMar>
      </w:tblPr>
      <w:tblGrid>
        <w:gridCol w:w="3406"/>
        <w:gridCol w:w="146"/>
        <w:gridCol w:w="148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aps/>
                <w:color w:val="000000"/>
                <w:sz w:val="20"/>
              </w:rPr>
              <w:t>Maryland</w:t>
            </w:r>
            <w:r>
              <w:rPr>
                <w:rFonts w:ascii="Times New Roman" w:hAnsi="Times New Roman"/>
                <w:caps/>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23-6858580</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 R. 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UNIVERSAL CORPORATE CENTER</w:t>
            </w:r>
          </w:p>
          <w:p>
            <w:pPr>
              <w:pStyle w:val="TableContents"/>
              <w:bidi w:val="0"/>
              <w:jc w:val="center"/>
              <w:rPr>
                <w:rFonts w:ascii="Times New Roman" w:hAnsi="Times New Roman"/>
                <w:b/>
                <w:color w:val="000000"/>
                <w:sz w:val="20"/>
              </w:rPr>
            </w:pPr>
            <w:r>
              <w:rPr>
                <w:rFonts w:ascii="Times New Roman" w:hAnsi="Times New Roman"/>
                <w:b/>
                <w:color w:val="000000"/>
                <w:sz w:val="20"/>
              </w:rPr>
              <w:t>367 SOUTH GULPH ROAD</w:t>
            </w:r>
          </w:p>
          <w:p>
            <w:pPr>
              <w:pStyle w:val="TableContents"/>
              <w:bidi w:val="0"/>
              <w:spacing w:before="0" w:after="20"/>
              <w:jc w:val="center"/>
              <w:rPr>
                <w:rFonts w:ascii="Times New Roman" w:hAnsi="Times New Roman"/>
                <w:sz w:val="20"/>
              </w:rPr>
            </w:pPr>
            <w:r>
              <w:rPr>
                <w:rFonts w:ascii="Times New Roman" w:hAnsi="Times New Roman"/>
                <w:b/>
                <w:color w:val="000000"/>
                <w:sz w:val="20"/>
              </w:rPr>
              <w:t>KING OF PRUSSIA, P</w:t>
            </w:r>
            <w:r>
              <w:rPr>
                <w:rFonts w:ascii="Times New Roman" w:hAnsi="Times New Roman"/>
                <w:b/>
                <w:caps/>
                <w:color w:val="000000"/>
                <w:sz w:val="20"/>
              </w:rPr>
              <w:t>ennsylvania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19406-0958</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(610) 265-0688</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 of beneficial interest,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Number of common shares of beneficial interest outstanding at July 31, 2026—13,898,684</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UNIVERSAL HEALTH REALTY INCOME TRUST</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INDEX</w:t>
      </w:r>
    </w:p>
    <w:tbl>
      <w:tblPr>
        <w:tblW w:w="10205" w:type="dxa"/>
        <w:jc w:val="left"/>
        <w:tblInd w:w="0" w:type="dxa"/>
        <w:tblLayout w:type="fixed"/>
        <w:tblCellMar>
          <w:top w:w="28" w:type="dxa"/>
          <w:left w:w="28" w:type="dxa"/>
          <w:bottom w:w="28" w:type="dxa"/>
          <w:right w:w="28" w:type="dxa"/>
        </w:tblCellMar>
      </w:tblPr>
      <w:tblGrid>
        <w:gridCol w:w="883"/>
        <w:gridCol w:w="391"/>
        <w:gridCol w:w="7309"/>
        <w:gridCol w:w="146"/>
        <w:gridCol w:w="1476"/>
      </w:tblGrid>
      <w:tr>
        <w:trPr/>
        <w:tc>
          <w:tcPr>
            <w:tcW w:w="883"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73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76" w:type="dxa"/>
            <w:tcBorders/>
            <w:shd w:fill="FFFFFF" w:val="clear"/>
            <w:vAlign w:val="center"/>
          </w:tcPr>
          <w:p>
            <w:pPr>
              <w:pStyle w:val="TableContents"/>
              <w:bidi w:val="0"/>
              <w:spacing w:before="0" w:after="283"/>
              <w:ind w:left="0" w:right="0" w:firstLine="240"/>
              <w:jc w:val="left"/>
              <w:rPr>
                <w:sz w:val="4"/>
                <w:szCs w:val="4"/>
              </w:rPr>
            </w:pPr>
            <w:r>
              <w:rPr>
                <w:sz w:val="4"/>
                <w:szCs w:val="4"/>
              </w:rPr>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8583"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item_i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income">
              <w:r>
                <w:rPr>
                  <w:rStyle w:val="InternetLink"/>
                  <w:rFonts w:ascii="Times New Roman" w:hAnsi="Times New Roman"/>
                  <w:color w:val="0000FF"/>
                  <w:sz w:val="20"/>
                  <w:u w:val="single"/>
                </w:rPr>
                <w:t>Condensed Consolidated Statements of Income—Three and Six Months Ended June 30</w:t>
              </w:r>
            </w:hyperlink>
            <w:r>
              <w:rPr>
                <w:rFonts w:ascii="Times New Roman" w:hAnsi="Times New Roman"/>
                <w:color w:val="000000"/>
                <w:sz w:val="20"/>
              </w:rPr>
              <w:t>,</w:t>
            </w:r>
            <w:hyperlink w:anchor="condensed_consolidated_statements_income">
              <w:r>
                <w:rPr>
                  <w:rStyle w:val="InternetLink"/>
                  <w:rFonts w:ascii="Times New Roman" w:hAnsi="Times New Roman"/>
                  <w:color w:val="0000FF"/>
                  <w:sz w:val="20"/>
                  <w:u w:val="single"/>
                </w:rPr>
                <w:t xml:space="preserve">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Income—Three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consolidated_equity_stmt">
              <w:r>
                <w:rPr>
                  <w:rStyle w:val="InternetLink"/>
                  <w:rFonts w:ascii="Times New Roman" w:hAnsi="Times New Roman"/>
                  <w:color w:val="0000FF"/>
                  <w:sz w:val="20"/>
                  <w:u w:val="single"/>
                </w:rPr>
                <w:t>Condensed Consolidated Statements of Changes in Equity—Three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 through 7 </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Consolidated Statements of Cash Flows—Six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 through 18</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through 28</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 through 29</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29 through 29</w:t>
            </w:r>
          </w:p>
        </w:tc>
      </w:tr>
      <w:tr>
        <w:trPr/>
        <w:tc>
          <w:tcPr>
            <w:tcW w:w="8583"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color w:val="0000FF"/>
                  <w:sz w:val="20"/>
                  <w:u w:val="single"/>
                </w:rPr>
                <w:t>PART II. OTHER INFORMATION</w:t>
              </w:r>
            </w:hyperlink>
            <w:hyperlink w:anchor="part_ii_or_informatio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3"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30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8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5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is for the quarter ended June 30, 2026. In this Quarterly Report, “we,” “us,” “our” and the “Trust” refer to Universal Health Realty Income Trust and its subsidiaries.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disclosed in this Quarterly Report, including in </w:t>
      </w:r>
      <w:r>
        <w:rPr>
          <w:rFonts w:ascii="Times New Roman" w:hAnsi="Times New Roman"/>
          <w:i/>
          <w:color w:val="000000"/>
          <w:sz w:val="20"/>
        </w:rPr>
        <w:t>Note 2 to the condensed consolidated financial statements—Relationship with Universal Health Services, Inc. (“UHS”) and Related Party Transactions</w:t>
      </w:r>
      <w:r>
        <w:rPr>
          <w:rFonts w:ascii="Times New Roman" w:hAnsi="Times New Roman"/>
          <w:color w:val="000000"/>
          <w:sz w:val="20"/>
        </w:rPr>
        <w:t>, a wholly-owned subsidiary of UHS (UHS of Delaware, Inc.) serves as our Advisor pursuant to the terms of an annually renewable Advisory Agreement dated December 24, 1986, and as amended and restated as of January 1, 2019. The Advisory Agreement expires on December 31 of each year, however, it is renewable by us, subject to a determination by our Trustees who are unaffiliated with UHS, that the Advisor’s performance has been satisfactory. The Advisory Agreement was renewed for 2026 with the same terms as the Advisory Agreement in place during 2025 and 2024. Our officers are all employees of UHS through its wholly-owned subsidiary, UHS of Delaware, Inc. In addition, five of our hospital facilities are leased to wholly-owned subsidiaries of UHS, one of our hospital facilities is leased to a joint venture between a wholly-owned subsidiary of UHS and a third party, and subsidiaries of UHS are tenants of nineteen</w:t>
      </w:r>
      <w:r>
        <w:rPr>
          <w:rFonts w:ascii="Times New Roman" w:hAnsi="Times New Roman"/>
          <w:color w:val="FF0000"/>
          <w:sz w:val="20"/>
        </w:rPr>
        <w:t xml:space="preserve"> </w:t>
      </w:r>
      <w:r>
        <w:rPr>
          <w:rFonts w:ascii="Times New Roman" w:hAnsi="Times New Roman"/>
          <w:color w:val="000000"/>
          <w:sz w:val="20"/>
        </w:rPr>
        <w:t>medical/office buildings or free-standing emergency departments, that are either wholly or jointly-owned by us. Any reference to “UHS” or “UHS facilities” in this report is, except as the context otherwise requires, referring to Universal Health Services, Inc.’s subsidiaries, including UHS of Delaware,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this Quarterly Report, the term “revenues” does not include the revenues of the unconsolidated limited liability companies (“LLCs”) in which we have various non-controlling equity interests ranging from 33% to 95%. As of June 30, 2026, we had investments in four jointly-owned LLCs/LPs. We currently account for our share of the income/loss from these investments by the equity method (see </w:t>
      </w:r>
      <w:r>
        <w:rPr>
          <w:rFonts w:ascii="Times New Roman" w:hAnsi="Times New Roman"/>
          <w:i/>
          <w:color w:val="000000"/>
          <w:sz w:val="20"/>
        </w:rPr>
        <w:t>Note 5</w:t>
      </w:r>
      <w:r>
        <w:rPr>
          <w:rFonts w:ascii="Times New Roman" w:hAnsi="Times New Roman"/>
          <w:color w:val="000000"/>
          <w:sz w:val="20"/>
        </w:rPr>
        <w:t xml:space="preserve"> </w:t>
      </w:r>
      <w:r>
        <w:rPr>
          <w:rFonts w:ascii="Times New Roman" w:hAnsi="Times New Roman"/>
          <w:i/>
          <w:color w:val="000000"/>
          <w:sz w:val="20"/>
        </w:rPr>
        <w:t>to the condensed consolidated financial statements - Summarized Financial Information of Equity Affiliates).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 w:name="part_i_financial_information"/>
      <w:bookmarkEnd w:id="2"/>
      <w:r>
        <w:rPr>
          <w:rFonts w:ascii="Times New Roman" w:hAnsi="Times New Roman"/>
          <w:b/>
          <w:color w:val="000000"/>
          <w:sz w:val="20"/>
          <w:u w:val="single"/>
        </w:rPr>
        <w:t>Part I. Financial Information</w:t>
      </w:r>
    </w:p>
    <w:p>
      <w:pPr>
        <w:pStyle w:val="TextBody"/>
        <w:bidi w:val="0"/>
        <w:spacing w:before="240" w:after="283"/>
        <w:jc w:val="center"/>
        <w:rPr>
          <w:rFonts w:ascii="Times New Roman" w:hAnsi="Times New Roman"/>
          <w:b/>
          <w:color w:val="000000"/>
          <w:sz w:val="20"/>
          <w:u w:val="single"/>
        </w:rPr>
      </w:pPr>
      <w:bookmarkStart w:id="3" w:name="item_i_financial_statements"/>
      <w:bookmarkEnd w:id="3"/>
      <w:r>
        <w:rPr>
          <w:rFonts w:ascii="Times New Roman" w:hAnsi="Times New Roman"/>
          <w:b/>
          <w:color w:val="000000"/>
          <w:sz w:val="20"/>
          <w:u w:val="single"/>
        </w:rPr>
        <w:t>Item I.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bookmarkStart w:id="4" w:name="condensed_consolidated_statements_income"/>
      <w:bookmarkEnd w:id="4"/>
      <w:r>
        <w:rPr>
          <w:rFonts w:ascii="Times New Roman" w:hAnsi="Times New Roman"/>
          <w:color w:val="000000"/>
          <w:sz w:val="20"/>
        </w:rPr>
        <w:t>Condensed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For the Three and 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per share information)</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84"/>
        <w:gridCol w:w="146"/>
        <w:gridCol w:w="211"/>
        <w:gridCol w:w="676"/>
        <w:gridCol w:w="166"/>
        <w:gridCol w:w="146"/>
        <w:gridCol w:w="211"/>
        <w:gridCol w:w="676"/>
        <w:gridCol w:w="166"/>
        <w:gridCol w:w="146"/>
        <w:gridCol w:w="211"/>
        <w:gridCol w:w="676"/>
        <w:gridCol w:w="166"/>
        <w:gridCol w:w="146"/>
        <w:gridCol w:w="211"/>
        <w:gridCol w:w="676"/>
        <w:gridCol w:w="391"/>
      </w:tblGrid>
      <w:tr>
        <w:trPr/>
        <w:tc>
          <w:tcPr>
            <w:tcW w:w="5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Lease revenue - UHS facilities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Lease revenue - Non-related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revenue - UHS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revenue - Non-related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income on financing leases - UHS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Advisory fees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equity in income of unconsolidated limited liability companies ("LLCs") and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Equity in income of unconsolidated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Gain on sale of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(a.) Includes bonus rental on McAllen Medical Center, a UHS acute care hospital facility of $992 and $861 for the three-month periods ended June 30, 2026 and 2025, respectively, and $2.0 million and $1.7 million for the six-month periods ended June 30, 2026 and 2025, respectively.</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bookmarkStart w:id="5" w:name="condensed_consolidated_statements_compre"/>
      <w:bookmarkEnd w:id="5"/>
      <w:r>
        <w:rPr>
          <w:rFonts w:ascii="Times New Roman" w:hAnsi="Times New Roman"/>
          <w:color w:val="000000"/>
          <w:sz w:val="20"/>
        </w:rPr>
        <w:t>Condensed 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For the Three and 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9442" w:type="dxa"/>
        <w:jc w:val="left"/>
        <w:tblInd w:w="0" w:type="dxa"/>
        <w:tblLayout w:type="fixed"/>
        <w:tblCellMar>
          <w:top w:w="28" w:type="dxa"/>
          <w:left w:w="28" w:type="dxa"/>
          <w:bottom w:w="28" w:type="dxa"/>
          <w:right w:w="28" w:type="dxa"/>
        </w:tblCellMar>
      </w:tblPr>
      <w:tblGrid>
        <w:gridCol w:w="4656"/>
        <w:gridCol w:w="146"/>
        <w:gridCol w:w="211"/>
        <w:gridCol w:w="571"/>
        <w:gridCol w:w="146"/>
        <w:gridCol w:w="146"/>
        <w:gridCol w:w="211"/>
        <w:gridCol w:w="631"/>
        <w:gridCol w:w="166"/>
        <w:gridCol w:w="146"/>
        <w:gridCol w:w="211"/>
        <w:gridCol w:w="676"/>
        <w:gridCol w:w="146"/>
        <w:gridCol w:w="146"/>
        <w:gridCol w:w="211"/>
        <w:gridCol w:w="631"/>
        <w:gridCol w:w="391"/>
      </w:tblGrid>
      <w:tr>
        <w:trPr/>
        <w:tc>
          <w:tcPr>
            <w:tcW w:w="4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derivative gain/(loss)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bookmarkStart w:id="6" w:name="condensed_consolidated_balance_sheets"/>
      <w:bookmarkEnd w:id="6"/>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share information)</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670"/>
        <w:gridCol w:w="146"/>
        <w:gridCol w:w="211"/>
        <w:gridCol w:w="991"/>
        <w:gridCol w:w="166"/>
        <w:gridCol w:w="146"/>
        <w:gridCol w:w="216"/>
        <w:gridCol w:w="866"/>
        <w:gridCol w:w="793"/>
      </w:tblGrid>
      <w:tr>
        <w:trPr/>
        <w:tc>
          <w:tcPr>
            <w:tcW w:w="6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Buildings and improvements and 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666,122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(312,982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353,140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Net Real Estate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410,010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receivable from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Net Real Estate Investments and Financing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492,158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in limited liability companies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other receivables from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receivable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 of accumulated amortization of $11.7 million and $10.9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land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charges, notes receivable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564,907</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Mortgage notes payable, non-recourse to us,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Ground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Tenant reserves, deposits and deferred and prepaid rents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of beneficial interest, </w:t>
              <w:br/>
              <w:t xml:space="preserve">   $.01 par value; 5,000,000 shares authorized; </w:t>
              <w:br/>
              <w:t>   none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$.01 par value; </w:t>
              <w:br/>
              <w:t xml:space="preserve">   95,000,000 shares authorized; issued and outstanding: 2026 - 13,898,649; </w:t>
              <w:br/>
              <w:t>   2025 - 13,874,607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272,147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net income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862,904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(984,443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152,384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564,907</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consolidated_equity_stmt"/>
      <w:bookmarkEnd w:id="7"/>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Changes in Equity</w:t>
      </w:r>
    </w:p>
    <w:p>
      <w:pPr>
        <w:pStyle w:val="TextBody"/>
        <w:bidi w:val="0"/>
        <w:jc w:val="center"/>
        <w:rPr>
          <w:rFonts w:ascii="Times New Roman" w:hAnsi="Times New Roman"/>
          <w:color w:val="000000"/>
          <w:sz w:val="20"/>
        </w:rPr>
      </w:pPr>
      <w:r>
        <w:rPr>
          <w:rFonts w:ascii="Times New Roman" w:hAnsi="Times New Roman"/>
          <w:color w:val="000000"/>
          <w:sz w:val="20"/>
        </w:rPr>
        <w:t>For the Six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jc w:val="center"/>
        <w:rPr/>
      </w:pPr>
      <w:r>
        <w:rPr/>
        <w:t> </w:t>
      </w:r>
    </w:p>
    <w:tbl>
      <w:tblPr>
        <w:tblW w:w="10692" w:type="dxa"/>
        <w:jc w:val="left"/>
        <w:tblInd w:w="0" w:type="dxa"/>
        <w:tblLayout w:type="fixed"/>
        <w:tblCellMar>
          <w:top w:w="28" w:type="dxa"/>
          <w:left w:w="28" w:type="dxa"/>
          <w:bottom w:w="28" w:type="dxa"/>
          <w:right w:w="28" w:type="dxa"/>
        </w:tblCellMar>
      </w:tblPr>
      <w:tblGrid>
        <w:gridCol w:w="1461"/>
        <w:gridCol w:w="146"/>
        <w:gridCol w:w="146"/>
        <w:gridCol w:w="676"/>
        <w:gridCol w:w="166"/>
        <w:gridCol w:w="146"/>
        <w:gridCol w:w="230"/>
        <w:gridCol w:w="461"/>
        <w:gridCol w:w="146"/>
        <w:gridCol w:w="146"/>
        <w:gridCol w:w="211"/>
        <w:gridCol w:w="781"/>
        <w:gridCol w:w="166"/>
        <w:gridCol w:w="146"/>
        <w:gridCol w:w="211"/>
        <w:gridCol w:w="781"/>
        <w:gridCol w:w="146"/>
        <w:gridCol w:w="146"/>
        <w:gridCol w:w="211"/>
        <w:gridCol w:w="991"/>
        <w:gridCol w:w="166"/>
        <w:gridCol w:w="146"/>
        <w:gridCol w:w="400"/>
        <w:gridCol w:w="771"/>
        <w:gridCol w:w="146"/>
        <w:gridCol w:w="146"/>
        <w:gridCol w:w="211"/>
        <w:gridCol w:w="781"/>
        <w:gridCol w:w="41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Beneficial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and dividend equivalents ($1.495/share)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net (loss)/gain on 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Changes in Equity</w:t>
      </w:r>
    </w:p>
    <w:p>
      <w:pPr>
        <w:pStyle w:val="TextBody"/>
        <w:bidi w:val="0"/>
        <w:jc w:val="center"/>
        <w:rPr>
          <w:rFonts w:ascii="Times New Roman" w:hAnsi="Times New Roman"/>
          <w:color w:val="000000"/>
          <w:sz w:val="20"/>
        </w:rPr>
      </w:pPr>
      <w:r>
        <w:rPr>
          <w:rFonts w:ascii="Times New Roman" w:hAnsi="Times New Roman"/>
          <w:color w:val="000000"/>
          <w:sz w:val="20"/>
        </w:rPr>
        <w:t>For the Six Months Ended June 30,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562" w:type="dxa"/>
        <w:jc w:val="left"/>
        <w:tblInd w:w="0" w:type="dxa"/>
        <w:tblLayout w:type="fixed"/>
        <w:tblCellMar>
          <w:top w:w="28" w:type="dxa"/>
          <w:left w:w="28" w:type="dxa"/>
          <w:bottom w:w="28" w:type="dxa"/>
          <w:right w:w="28" w:type="dxa"/>
        </w:tblCellMar>
      </w:tblPr>
      <w:tblGrid>
        <w:gridCol w:w="1461"/>
        <w:gridCol w:w="146"/>
        <w:gridCol w:w="146"/>
        <w:gridCol w:w="676"/>
        <w:gridCol w:w="166"/>
        <w:gridCol w:w="146"/>
        <w:gridCol w:w="230"/>
        <w:gridCol w:w="461"/>
        <w:gridCol w:w="146"/>
        <w:gridCol w:w="146"/>
        <w:gridCol w:w="211"/>
        <w:gridCol w:w="781"/>
        <w:gridCol w:w="166"/>
        <w:gridCol w:w="146"/>
        <w:gridCol w:w="211"/>
        <w:gridCol w:w="781"/>
        <w:gridCol w:w="146"/>
        <w:gridCol w:w="146"/>
        <w:gridCol w:w="211"/>
        <w:gridCol w:w="841"/>
        <w:gridCol w:w="166"/>
        <w:gridCol w:w="146"/>
        <w:gridCol w:w="371"/>
        <w:gridCol w:w="800"/>
        <w:gridCol w:w="166"/>
        <w:gridCol w:w="146"/>
        <w:gridCol w:w="211"/>
        <w:gridCol w:w="781"/>
        <w:gridCol w:w="41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Beneficial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and dividend equivalents ($1.475/share)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net (loss)/gain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165,152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Changes in Equity</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692" w:type="dxa"/>
        <w:jc w:val="left"/>
        <w:tblInd w:w="0" w:type="dxa"/>
        <w:tblLayout w:type="fixed"/>
        <w:tblCellMar>
          <w:top w:w="28" w:type="dxa"/>
          <w:left w:w="28" w:type="dxa"/>
          <w:bottom w:w="28" w:type="dxa"/>
          <w:right w:w="28" w:type="dxa"/>
        </w:tblCellMar>
      </w:tblPr>
      <w:tblGrid>
        <w:gridCol w:w="1461"/>
        <w:gridCol w:w="146"/>
        <w:gridCol w:w="146"/>
        <w:gridCol w:w="676"/>
        <w:gridCol w:w="166"/>
        <w:gridCol w:w="146"/>
        <w:gridCol w:w="230"/>
        <w:gridCol w:w="461"/>
        <w:gridCol w:w="146"/>
        <w:gridCol w:w="146"/>
        <w:gridCol w:w="211"/>
        <w:gridCol w:w="781"/>
        <w:gridCol w:w="166"/>
        <w:gridCol w:w="146"/>
        <w:gridCol w:w="211"/>
        <w:gridCol w:w="781"/>
        <w:gridCol w:w="146"/>
        <w:gridCol w:w="146"/>
        <w:gridCol w:w="211"/>
        <w:gridCol w:w="991"/>
        <w:gridCol w:w="166"/>
        <w:gridCol w:w="146"/>
        <w:gridCol w:w="400"/>
        <w:gridCol w:w="771"/>
        <w:gridCol w:w="146"/>
        <w:gridCol w:w="146"/>
        <w:gridCol w:w="211"/>
        <w:gridCol w:w="781"/>
        <w:gridCol w:w="41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Beneficial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and dividend equivalents ($.75/share)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net (loss)/gain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Changes in Equity</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June 30,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562" w:type="dxa"/>
        <w:jc w:val="left"/>
        <w:tblInd w:w="0" w:type="dxa"/>
        <w:tblLayout w:type="fixed"/>
        <w:tblCellMar>
          <w:top w:w="28" w:type="dxa"/>
          <w:left w:w="28" w:type="dxa"/>
          <w:bottom w:w="28" w:type="dxa"/>
          <w:right w:w="28" w:type="dxa"/>
        </w:tblCellMar>
      </w:tblPr>
      <w:tblGrid>
        <w:gridCol w:w="1461"/>
        <w:gridCol w:w="146"/>
        <w:gridCol w:w="146"/>
        <w:gridCol w:w="676"/>
        <w:gridCol w:w="166"/>
        <w:gridCol w:w="146"/>
        <w:gridCol w:w="230"/>
        <w:gridCol w:w="461"/>
        <w:gridCol w:w="146"/>
        <w:gridCol w:w="146"/>
        <w:gridCol w:w="211"/>
        <w:gridCol w:w="781"/>
        <w:gridCol w:w="166"/>
        <w:gridCol w:w="146"/>
        <w:gridCol w:w="211"/>
        <w:gridCol w:w="781"/>
        <w:gridCol w:w="146"/>
        <w:gridCol w:w="146"/>
        <w:gridCol w:w="211"/>
        <w:gridCol w:w="841"/>
        <w:gridCol w:w="166"/>
        <w:gridCol w:w="146"/>
        <w:gridCol w:w="371"/>
        <w:gridCol w:w="800"/>
        <w:gridCol w:w="166"/>
        <w:gridCol w:w="146"/>
        <w:gridCol w:w="211"/>
        <w:gridCol w:w="781"/>
        <w:gridCol w:w="41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Beneficial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and dividend equivalents ($.74/share)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net (loss)/gain on 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bookmarkStart w:id="8" w:name="consolidated_equity_stmt_end"/>
      <w:bookmarkEnd w:id="8"/>
      <w:r>
        <w:rPr>
          <w:rFonts w:ascii="Times New Roman" w:hAnsi="Times New Roman"/>
          <w:color w:val="000000"/>
          <w:sz w:val="20"/>
        </w:rPr>
        <w:t>See accompanying notes to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statement_of_cash_flows"/>
      <w:bookmarkEnd w:id="9"/>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865"/>
        <w:gridCol w:w="146"/>
        <w:gridCol w:w="227"/>
        <w:gridCol w:w="795"/>
        <w:gridCol w:w="178"/>
        <w:gridCol w:w="156"/>
        <w:gridCol w:w="227"/>
        <w:gridCol w:w="795"/>
        <w:gridCol w:w="816"/>
      </w:tblGrid>
      <w:tr>
        <w:trPr/>
        <w:tc>
          <w:tcPr>
            <w:tcW w:w="6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related to above/below market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Gain on sale of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Lease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Tenant reserves, deposits and deferred and prepaid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Leasing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25,296</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in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Advance made to third-party partners,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distributions from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real estate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proceeds received from sale of land,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borrowings on the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mortgage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shares of beneficial interest,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Invoices accrued for construction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UNIVERSAL HEALTH REALTY INCOME TRUST</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is for the quarter ended June 30, 2026. In this Quarterly Report, “we,” “us,” “our” and the “Trust” refer to Universal Health Realty Income Trust and its subsidiaries.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this Quarterly Report on Form 10-Q, the term “revenues” does not include the revenues of the unconsolidated LLCs in which we have various non-controlling equity interests ranging from 33% to 95%. As of June 30, 2026, we had investments in four jointly-owned LLCs/LPs. We currently account for our share of the income/loss from these investments by the equity method (see </w:t>
      </w:r>
      <w:r>
        <w:rPr>
          <w:rFonts w:ascii="Times New Roman" w:hAnsi="Times New Roman"/>
          <w:i/>
          <w:color w:val="000000"/>
          <w:sz w:val="20"/>
        </w:rPr>
        <w:t>Note 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consolidated financial statements included herein have been prepared by us, without audit, pursuant to the rules and regulations of the SEC and reflect all normal and recurring adjustments which, in our opinion, are necessary to fairly present results for the interim periods. Certain information and footnote disclosures normally included in financial statements prepared in accordance with generally accepted accounting principles in the United States of America (U.S. GAAP) have been condensed or omitted pursuant to such rules and regulations, although we believe that the accompanying disclosures are adequate to make the information presented not misleading. It is suggested that these condensed consolidated financial statements be read in conjunction with the consolidated financial statements, the notes thereto and accounting policies included in our Annual Report on Form 10-K for the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accounting principles generally accepted in the United States of America requires us to make estimates and assumptions that affect the amounts reported in our consolidated financial statements and accompanying notes.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Relationship with Universal Health Services, Inc. (“UHS”) and Related Party Transactions</w:t>
      </w:r>
    </w:p>
    <w:p>
      <w:pPr>
        <w:pStyle w:val="TextBody"/>
        <w:bidi w:val="0"/>
        <w:spacing w:before="120" w:after="283"/>
        <w:jc w:val="both"/>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We commenced operations in 1986 by purchasing certain properties from subsidiaries of UHS and immediately leasing the properties back to the respective subsidiaries. The base rentals and lease and renewal terms for each of the hospitals leased to subsidiaries of UHS as of June 30, 2026, are provided below. The base rents are paid monthly. The lease on McAllen Medical Center also provides for bonus rent which is paid quarterly based upon a computation that compares the hospital’s current quarter revenue to a corresponding quarter in the base year. The hospital leases with subsidiaries of UHS, with the exception of the lease on Clive Behavioral Health Hospital (which is operated by UHS in a joint venture with an unrelated third party), are unconditionally guaranteed by UHS and are cross-defaulted with one another. The lease for the Clive Behavioral Health is guaranteed on a several basis by UHS (52%) and Catholic Health Initiatives-Iowa (48%).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combined revenues generated from the leases on the three acute care and three behavioral health care hospital facilities leased to subsidiaries of UHS, accounted for approximately 25% and 24% of our consolidated revenues during the three months ended June 30, 2026 and 2025, respectively, and approximately 25% of our consolidated revenues during each of the six months ended June 30, 2026 and 2025. In addition to the six UHS hospital facilities, we have nineteen properties consisting of medical/office buildings and free-standing emergency departments ("FEDs") that are either wholly or jointly-owned by us that include tenants which are subsidiaries of UHS. The aggregate revenues generated from UHS-related tenants comprised approximately 40% of our consolidated revenues during each of the three and six-month periods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2021, we entered into an asset purchase and sale agreement, as amended, with UHS and certain of its affiliates. Pursuant to the terms of the transaction, in addition to $4.1 million in cash paid by us to UHS, a wholly-owned subsidiary of UHS purchased from us, the real estate assets of an acute care hospital located in California (at its fair market value) and two wholly-owned subsidiaries of UHS transferred to us (at their fair market values), the real estate assets of Aiken Regional Medical Center (“Aiken”), located in Aiken, South Carolina (which includes an acute care hospital and a behavioral health pavilion), and Canyon Creek Behavioral Health (“Canyon Creek”), located in Temple, Texas. As a result of UHS’ purchase option within the lease agreements of Aiken and Canyon Creek, the transaction is accounted for as a failed sale leaseback in accordance with U.S. GAAP and the properties acquired by us in connection with the asset purchase and sale agreement with UHS were accounted for as financing arrangements. Pursuant to the leases, the aggregate annual rental rate during 2026 on the acquired properties, which is payable to us on a monthly basis, is approximately $6.2 million ($4.3 million related to Aiken and $1.9 million related to Canyon Creek). The portion of the lease payments that is included in our consolidated statements of income, and reflected as interest income on financing leases, was approximately $1.3 million and $1.4 million during the three months ended June 30, 2026 and 2025, respectively, and approximately $2.7 million for each of the six-month periods ended June 30, 2026 and 2025. There is no bonus rental component applicable to either of these leases. Our consolidated balance sheets as of June 30, 2026 and December 31, 2025 include financing receivables related to this transaction of $81.7 million and $82.1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master leases by and among us and certain subsidiaries of UHS, dated December 24, 1986 and December 31, 2021 (the “Master Leases”), which govern the leases of McAllen Medical Center, Wellington Regional Medical Center (governed by the Master Lease dated December 24, 1986), Aiken Regional Medical Center and Canyon Creek Behavioral Health (governed by the Master Lease dated December 31, 2021, as amended), all of which are hospital properties that are wholly-owned subsidiaries of UHS, UHS has the option, among other things, to renew the leases at the lease terms described below by providing notice to us at least 90 days prior to the termination of the then current term. UHS also has the right to purchase the respective leased facilities from us at their appraised fair market value upon any of the following: (i) at the end of the lease terms or any renewal terms; (ii) upon one month’s notice should a change of control of the Trust occur, or; (iii) within the time period as specified in the leases in the event that UHS provides notice to us of their intent to offer a substitution property/properties in exchange for one (or more) of the four wholly-owned UHS hospital facilities leased from us, should we be unable to reach an agreement with UHS on the properties to be substituted. Additionally, UHS has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a wholly-owned subsidiary of UHS is the managing, majority member in a joint-venture with an unrelated third-party that operates, and leases from us, Clive Behavioral Health, a 100-bed behavioral health care facility located in Clive, Iowa. Pursuant to the lease on this facility, the joint venture has the option to, among other things, renew the lease at the terms specified in the lease agreement by providing notice to us at least 270 days prior to the termination of the then current term. The joint venture also has the right to purchase the leased facility from us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details the existing lease terms and renewal options for each of the hospital leases that are related to UHS as of June 30, 2026, consisting of three acute care hospitals and three behavioral health hospitals: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55"/>
        <w:gridCol w:w="146"/>
        <w:gridCol w:w="211"/>
        <w:gridCol w:w="931"/>
        <w:gridCol w:w="146"/>
        <w:gridCol w:w="146"/>
        <w:gridCol w:w="1385"/>
        <w:gridCol w:w="146"/>
        <w:gridCol w:w="227"/>
        <w:gridCol w:w="494"/>
        <w:gridCol w:w="146"/>
        <w:gridCol w:w="372"/>
      </w:tblGrid>
      <w:tr>
        <w:trPr/>
        <w:tc>
          <w:tcPr>
            <w:tcW w:w="5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5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Hospital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w:t>
              <w:br/>
              <w:t>Minimum</w:t>
              <w:br/>
              <w:t>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 of</w:t>
              <w:br/>
              <w:t>Lease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McAllen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r>
      <w:tr>
        <w:trPr/>
        <w:tc>
          <w:tcPr>
            <w:tcW w:w="5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Wellington Regional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r>
      <w:tr>
        <w:trPr/>
        <w:tc>
          <w:tcPr>
            <w:tcW w:w="5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Regional Medical Center/Aurora Pavilion Behavioral Health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r>
      <w:tr>
        <w:trPr/>
        <w:tc>
          <w:tcPr>
            <w:tcW w:w="5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Canyon Creek Behavioral 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r>
      <w:tr>
        <w:trPr/>
        <w:tc>
          <w:tcPr>
            <w:tcW w:w="5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Behavioral Health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both"/>
        <w:rPr>
          <w:rFonts w:ascii="sans-serif" w:hAnsi="sans-serif"/>
          <w:sz w:val="22"/>
        </w:rPr>
      </w:pPr>
      <w:r>
        <w:rPr>
          <w:rFonts w:ascii="Times New Roman" w:hAnsi="Times New Roman"/>
          <w:color w:val="000000"/>
          <w:sz w:val="20"/>
        </w:rPr>
        <w:t>UHS has one</w:t>
      </w:r>
      <w:r>
        <w:rPr>
          <w:rFonts w:ascii="sans-serif" w:hAnsi="sans-serif"/>
          <w:color w:val="000000"/>
          <w:sz w:val="22"/>
        </w:rPr>
        <w:t xml:space="preserve"> </w:t>
      </w:r>
      <w:r>
        <w:rPr>
          <w:rFonts w:ascii="Times New Roman" w:hAnsi="Times New Roman"/>
          <w:color w:val="000000"/>
          <w:sz w:val="20"/>
        </w:rPr>
        <w:t>5-year</w:t>
      </w:r>
      <w:r>
        <w:rPr>
          <w:rFonts w:ascii="sans-serif" w:hAnsi="sans-serif"/>
          <w:color w:val="000000"/>
          <w:sz w:val="22"/>
        </w:rPr>
        <w:t xml:space="preserve"> </w:t>
      </w:r>
      <w:r>
        <w:rPr>
          <w:rFonts w:ascii="Times New Roman" w:hAnsi="Times New Roman"/>
          <w:color w:val="000000"/>
          <w:sz w:val="20"/>
        </w:rPr>
        <w:t>renewal option at existing lease rates (through 2031).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sans-serif" w:hAnsi="sans-serif"/>
          <w:sz w:val="22"/>
        </w:rPr>
      </w:pPr>
      <w:r>
        <w:rPr>
          <w:rFonts w:ascii="Times New Roman" w:hAnsi="Times New Roman"/>
          <w:color w:val="000000"/>
          <w:sz w:val="20"/>
        </w:rPr>
        <w:t>UHS has one</w:t>
      </w:r>
      <w:r>
        <w:rPr>
          <w:rFonts w:ascii="sans-serif" w:hAnsi="sans-serif"/>
          <w:color w:val="000000"/>
          <w:sz w:val="22"/>
        </w:rPr>
        <w:t xml:space="preserve"> </w:t>
      </w:r>
      <w:r>
        <w:rPr>
          <w:rFonts w:ascii="Times New Roman" w:hAnsi="Times New Roman"/>
          <w:color w:val="000000"/>
          <w:sz w:val="20"/>
        </w:rPr>
        <w:t>5-year</w:t>
      </w:r>
      <w:r>
        <w:rPr>
          <w:rFonts w:ascii="sans-serif" w:hAnsi="sans-serif"/>
          <w:color w:val="000000"/>
          <w:sz w:val="22"/>
        </w:rPr>
        <w:t xml:space="preserve"> </w:t>
      </w:r>
      <w:r>
        <w:rPr>
          <w:rFonts w:ascii="Times New Roman" w:hAnsi="Times New Roman"/>
          <w:color w:val="000000"/>
          <w:sz w:val="20"/>
        </w:rPr>
        <w:t>renewal option at fair market value lease rates (through 2031). The annual rental has increased by 2.5% on an annual compounded basis on each January 1</w:t>
      </w:r>
      <w:r>
        <w:rPr>
          <w:rFonts w:ascii="Times New Roman" w:hAnsi="Times New Roman"/>
          <w:color w:val="000000"/>
          <w:sz w:val="13"/>
        </w:rPr>
        <w:t xml:space="preserve">st </w:t>
      </w:r>
      <w:r>
        <w:rPr>
          <w:rFonts w:ascii="Times New Roman" w:hAnsi="Times New Roman"/>
          <w:color w:val="000000"/>
          <w:sz w:val="20"/>
        </w:rPr>
        <w:t>through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sans-serif" w:hAnsi="sans-serif"/>
          <w:sz w:val="22"/>
        </w:rPr>
      </w:pPr>
      <w:r>
        <w:rPr>
          <w:rFonts w:ascii="Times New Roman" w:hAnsi="Times New Roman"/>
          <w:color w:val="000000"/>
          <w:sz w:val="20"/>
        </w:rPr>
        <w:t>UHS has seven</w:t>
      </w:r>
      <w:r>
        <w:rPr>
          <w:rFonts w:ascii="sans-serif" w:hAnsi="sans-serif"/>
          <w:color w:val="000000"/>
          <w:sz w:val="22"/>
        </w:rPr>
        <w:t xml:space="preserve"> </w:t>
      </w:r>
      <w:r>
        <w:rPr>
          <w:rFonts w:ascii="Times New Roman" w:hAnsi="Times New Roman"/>
          <w:color w:val="000000"/>
          <w:sz w:val="20"/>
        </w:rPr>
        <w:t>5-year</w:t>
      </w:r>
      <w:r>
        <w:rPr>
          <w:rFonts w:ascii="sans-serif" w:hAnsi="sans-serif"/>
          <w:color w:val="000000"/>
          <w:sz w:val="22"/>
        </w:rPr>
        <w:t xml:space="preserve"> </w:t>
      </w:r>
      <w:r>
        <w:rPr>
          <w:rFonts w:ascii="Times New Roman" w:hAnsi="Times New Roman"/>
          <w:color w:val="000000"/>
          <w:sz w:val="20"/>
        </w:rPr>
        <w:t>renewal options at fair market value lease rates (2034</w:t>
      </w:r>
      <w:r>
        <w:rPr>
          <w:rFonts w:ascii="sans-serif" w:hAnsi="sans-serif"/>
          <w:color w:val="000000"/>
          <w:sz w:val="22"/>
        </w:rPr>
        <w:t xml:space="preserve"> </w:t>
      </w:r>
      <w:r>
        <w:rPr>
          <w:rFonts w:ascii="Times New Roman" w:hAnsi="Times New Roman"/>
          <w:color w:val="000000"/>
          <w:sz w:val="20"/>
        </w:rPr>
        <w:t>through 2068). The annual rental rate will increase by 2.25% on a cumulative and compounded basis on each January 1</w:t>
      </w:r>
      <w:r>
        <w:rPr>
          <w:rFonts w:ascii="Times New Roman" w:hAnsi="Times New Roman"/>
          <w:color w:val="000000"/>
          <w:sz w:val="13"/>
        </w:rPr>
        <w:t xml:space="preserve">st </w:t>
      </w:r>
      <w:r>
        <w:rPr>
          <w:rFonts w:ascii="Times New Roman" w:hAnsi="Times New Roman"/>
          <w:color w:val="000000"/>
          <w:sz w:val="20"/>
        </w:rPr>
        <w:t>through 2033.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sans-serif" w:hAnsi="sans-serif"/>
          <w:sz w:val="22"/>
        </w:rPr>
      </w:pPr>
      <w:r>
        <w:rPr>
          <w:rFonts w:ascii="Times New Roman" w:hAnsi="Times New Roman"/>
          <w:color w:val="000000"/>
          <w:sz w:val="20"/>
        </w:rPr>
        <w:t>The UHS-related joint venture has five</w:t>
      </w:r>
      <w:r>
        <w:rPr>
          <w:rFonts w:ascii="sans-serif" w:hAnsi="sans-serif"/>
          <w:color w:val="000000"/>
          <w:sz w:val="22"/>
        </w:rPr>
        <w:t xml:space="preserve"> </w:t>
      </w:r>
      <w:r>
        <w:rPr>
          <w:rFonts w:ascii="Times New Roman" w:hAnsi="Times New Roman"/>
          <w:color w:val="000000"/>
          <w:sz w:val="20"/>
        </w:rPr>
        <w:t>10-year</w:t>
      </w:r>
      <w:r>
        <w:rPr>
          <w:rFonts w:ascii="sans-serif" w:hAnsi="sans-serif"/>
          <w:color w:val="000000"/>
          <w:sz w:val="22"/>
        </w:rPr>
        <w:t xml:space="preserve"> </w:t>
      </w:r>
      <w:r>
        <w:rPr>
          <w:rFonts w:ascii="Times New Roman" w:hAnsi="Times New Roman"/>
          <w:color w:val="000000"/>
          <w:sz w:val="20"/>
        </w:rPr>
        <w:t>renewal options; the first three of the five 10-year renewal options will be at computed lease rates as stipulated in the lease (2041</w:t>
      </w:r>
      <w:r>
        <w:rPr>
          <w:rFonts w:ascii="sans-serif" w:hAnsi="sans-serif"/>
          <w:color w:val="000000"/>
          <w:sz w:val="22"/>
        </w:rPr>
        <w:t xml:space="preserve"> </w:t>
      </w:r>
      <w:r>
        <w:rPr>
          <w:rFonts w:ascii="Times New Roman" w:hAnsi="Times New Roman"/>
          <w:color w:val="000000"/>
          <w:sz w:val="20"/>
        </w:rPr>
        <w:t>through 2070) and the last two 10-year renewal options will be at fair market lease rates (2071</w:t>
      </w:r>
      <w:r>
        <w:rPr>
          <w:rFonts w:ascii="sans-serif" w:hAnsi="sans-serif"/>
          <w:color w:val="000000"/>
          <w:sz w:val="22"/>
        </w:rPr>
        <w:t xml:space="preserve"> </w:t>
      </w:r>
      <w:r>
        <w:rPr>
          <w:rFonts w:ascii="Times New Roman" w:hAnsi="Times New Roman"/>
          <w:color w:val="000000"/>
          <w:sz w:val="20"/>
        </w:rPr>
        <w:t>through 2090). On each January 1</w:t>
      </w:r>
      <w:r>
        <w:rPr>
          <w:rFonts w:ascii="Times New Roman" w:hAnsi="Times New Roman"/>
          <w:color w:val="000000"/>
          <w:sz w:val="13"/>
        </w:rPr>
        <w:t xml:space="preserve">st </w:t>
      </w:r>
      <w:r>
        <w:rPr>
          <w:rFonts w:ascii="Times New Roman" w:hAnsi="Times New Roman"/>
          <w:color w:val="000000"/>
          <w:sz w:val="20"/>
        </w:rPr>
        <w:t>through 2040 (and potentially through 2070 if the first three of five, 10-year renewal options are exercised), the annual rental will increase by 2.75% on a cumulative and compounded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2024, two wholly-owned subsidiaries of UHS each exercised their 5-year renewal options on two FEDs located in Weslaco and Mission, Texas, covering the period of February 1, 2025 through January 31, 2030. The aggregate annual lease rates on the renewed leases, which are scheduled to increase 2% per year, for the period of February 1, 2026 through January 31, 2027 is approximately $1.1 million. The wholly-owned subsidiaries of UHS have five, 5-year renewal options remaining on each of these FEDs, with the first three renewal options (covering the years 2030 through 2044) providing for 2% annual increases to the lease rates, and the remaining two, 5-year renewal options (covering the years 2045 through 2054) providing for lease rates at the then fair market value. These leases are cross-defaulted with one another and the wholly-owned subsidiaries of UHS have the option to purchase the leased properties upon the expiration of each five-year extended term at the fair market value at that time.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cannot predict whether the leases with wholly-owned subsidiaries of UHS, which have renewal options at existing lease rates or fair market value lease rates, or any of our other leases, will be renewed at the end of their lease term. If the leases are not renewed at their current rates or the fair market value lease rates, we would be required to find other operators for those facilities and/or enter into leases on terms potentially less favorable to us than the current leases. In addition, if subsidiaries of UHS exercise their options to purchase the respective leased hospital or FED facilities upon expiration of the lease terms, our future revenues could decrease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were unable to earn a favorable rate of return on the sale proceeds received, as compared to the rental revenue currently earned pursuant to these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we entered into a ground lease with a wholly-owned subsidiary of UHS with the intent to develop, construct and own the Miller Medical Plaza, an 80,000 square foot MOB located in Palm Beach Gardens, Florida. Construction of this MOB, for which we have engaged a wholly-owned subsidiary of UHS to act as project manager, commenced in February, 2026, and is expected to be completed in December, 2026. The cost of the MOB is estimated to be approximately $34 million. This MOB will be located on the campus of the Alan B. Miller Medical Center, a newly constructed acute care hospital owned and operated by a wholly-owned subsidiary of UHS, which was completed and opened in May, 2026. A wholly-owned subsidiary of UHS has executed a 10-year master flex lease agreement, which commences when building is completed and is subject to reduction based on the execution of third-party leases, for approximately 75% of the rentable square feet of the MOB.</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of June 30, 2026 we are the lessee on fourteen ground leases with subsidiaries of UHS (for consolidated and unconsolidated investments). The remaining lease terms on the ground leases with subsidiaries of UHS range from approximately 23 years to approximately 75 years. The annual aggregate lease payments on these properties are approximately $589,000 for the year ended 2026 and $603,000 for each of the years ended 2027 through 2030, and an aggregate of $32.8 million thereafter. See </w:t>
      </w:r>
      <w:r>
        <w:rPr>
          <w:rFonts w:ascii="Times New Roman" w:hAnsi="Times New Roman"/>
          <w:i/>
          <w:color w:val="000000"/>
          <w:sz w:val="20"/>
        </w:rPr>
        <w:t>Note 7</w:t>
      </w:r>
      <w:r>
        <w:rPr>
          <w:rFonts w:ascii="Times New Roman" w:hAnsi="Times New Roman"/>
          <w:color w:val="000000"/>
          <w:sz w:val="20"/>
        </w:rPr>
        <w:t xml:space="preserve"> for additional lease accounting disclosure.</w:t>
      </w:r>
      <w:r>
        <w:rPr>
          <w:rFonts w:ascii="Times New Roman" w:hAnsi="Times New Roman"/>
          <w:color w:val="FF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Officers and Employees:</w:t>
      </w:r>
      <w:r>
        <w:rPr>
          <w:rFonts w:ascii="Times New Roman" w:hAnsi="Times New Roman"/>
          <w:color w:val="000000"/>
          <w:sz w:val="20"/>
        </w:rPr>
        <w:t xml:space="preserve"> Our officers are all employees of a wholly-owned subsidiary of UHS and although as of June 30, 2026 we had no salaried employees, our officers do typically receive annual stock-based compensation awards in the form of restricted stock or restricted stock units. In special circumstances, if warranted and deemed appropriate by the Compensation Committee of the Board of Trustees, our officers may also receive one-time compensation awards in the form of restricted stock, and/or cash bonuses.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Advisory Agreement: </w:t>
      </w:r>
      <w:r>
        <w:rPr>
          <w:rFonts w:ascii="Times New Roman" w:hAnsi="Times New Roman"/>
          <w:color w:val="000000"/>
          <w:sz w:val="20"/>
        </w:rPr>
        <w:t xml:space="preserve">UHS of Delaware, Inc. (the “Advisor”), a wholly-owned subsidiary of UHS, serves as Advisor to us under an advisory agreement dated December 24, 1986, and as amended and restated as of January 1, 2019 (the “Advisory Agreement”). Pursuant to the Advisory Agreement, the Advisor is obligated to present an investment program to us, to use its best efforts to obtain investments suitable for such program (although it is not obligated to present any particular investment opportunity to us), to provide administrative services to us and to conduct our day-to-day affairs. All transactions between us and UHS must be approved by the Trustees who are unaffiliated with UHS (the “Independent Trustees”). In performing its services under the Advisory Agreement, the Advisor may utilize independent professional services, including accounting, legal, tax and other services, for which the Advisor is reimbursed directly by us. The Advisory Agreement may be terminated for any reason upon sixty days written notice by us or the Advisor. The Advisory Agreement expires on December 31 of each year; however, it is renewable by us, subject to a determination by the Independent Trustees, that the Advisor’s performance has been satisfactory. The Advisory Agreement was renewed for 2026 with the same terms as the Advisory Agreement in place during 2025 and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advisory fee was computed at 0.70% of our average invested real estate assets, as derived from our condensed consolidated balance sheets. Based upon a review of our advisory fee and other general and administrative expenses, as compared to an industry peer group, the advisory fee computation remained unchanged for 2026 as compared to 2025 and 2024. The average real estate assets for advisory fee calculation purposes exclude certain items from our condensed consolidated balance sheet such as, among other things, accumulated depreciation, cash and cash equivalents, lease receivables, deferred charges and other assets. The advisory fee is payable quarterly, subject to adjustment at year-end based upon our audited financial statements. Advisory fees incurred and paid (or payable) to UHS amounted to approximately $1.4 million for each of the three-month periods ended June 30, 2026 and 2025, respectively, and were based upon average invested real estate assets of $816 million and $795 million, respectively. Advisory fees incurred and paid (or payable) to UHS amounted to approximately $2.8 million for each of the six-month periods ended June 30, 2026 and 2025, and were based upon average invested real estate assets of $809 million and $787 million, respectively. </w:t>
      </w:r>
    </w:p>
    <w:p>
      <w:pPr>
        <w:pStyle w:val="TextBody"/>
        <w:bidi w:val="0"/>
        <w:spacing w:before="120" w:after="283"/>
        <w:jc w:val="both"/>
        <w:rPr>
          <w:rFonts w:ascii="Times New Roman" w:hAnsi="Times New Roman"/>
          <w:sz w:val="20"/>
        </w:rPr>
      </w:pPr>
      <w:r>
        <w:rPr>
          <w:rFonts w:ascii="Times New Roman" w:hAnsi="Times New Roman"/>
          <w:i/>
          <w:color w:val="000000"/>
          <w:sz w:val="20"/>
        </w:rPr>
        <w:t>Share Ownership:</w:t>
      </w:r>
      <w:r>
        <w:rPr>
          <w:rFonts w:ascii="Times New Roman" w:hAnsi="Times New Roman"/>
          <w:color w:val="000000"/>
          <w:sz w:val="20"/>
        </w:rPr>
        <w:t xml:space="preserve"> As of June 30, 2026 and December 31, 2025, UHS owned 5.7% of our outstanding shares of beneficial interest.</w:t>
      </w:r>
    </w:p>
    <w:p>
      <w:pPr>
        <w:pStyle w:val="TextBody"/>
        <w:bidi w:val="0"/>
        <w:spacing w:before="120" w:after="283"/>
        <w:jc w:val="both"/>
        <w:rPr>
          <w:rFonts w:ascii="Times New Roman" w:hAnsi="Times New Roman"/>
          <w:sz w:val="20"/>
        </w:rPr>
      </w:pPr>
      <w:r>
        <w:rPr>
          <w:rFonts w:ascii="Times New Roman" w:hAnsi="Times New Roman"/>
          <w:i/>
          <w:color w:val="000000"/>
          <w:sz w:val="20"/>
        </w:rPr>
        <w:t>SEC reporting requirements of UHS:</w:t>
      </w:r>
      <w:r>
        <w:rPr>
          <w:rFonts w:ascii="Times New Roman" w:hAnsi="Times New Roman"/>
          <w:color w:val="000000"/>
          <w:sz w:val="20"/>
        </w:rPr>
        <w:t xml:space="preserve"> UHS is subject to the reporting requirements of the Securities and Exchange Commission ("SEC") and is required to file annual reports containing audited financial information and quarterly reports containing unaudited financial information. Since the aggregate revenues generated from the UHS-related tenants comprised approximately 40% of our consolidated revenues during each of the three and six-month periods ended June 30, 2026 and 2025, and since a subsidiary of UHS is our Advisor, you are encouraged to obtain the publicly available filings for Universal Health Services, Inc. from the SEC’s website. These filings are the sole responsibility of UHS and are not incorporated by reference herein.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Dividends and Equity Issuance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Dividends and dividend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declared and paid dividends of approximately $10.5 million, or $.750 per share, during the second quarter of 2026 and approximately $10.3 million, or $.740 per share, during the second quarter of 2025. We declared and paid dividends of approximately $20.8 million, or $1.495 per share, during the six-month period ended June 30, 2026, and approximately $20.5 million, or $1.475 per share, during the comparable period of 2025. Amounts reflected above include accrued dividends that were paid related to the vesting of restricted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Dividend equivalents, which are applicable to shares of unvested restricted stock, were accrued during the first six months of 2026 and 2025 and were or will be paid upon vesting of the restricted stock.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Equity Issuance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second quarter of 2024, we filed a shelf registration statement on Form S-3 (File No. 333-278730) (the "Form S-3"), registering the offer and sale, from time-to-time, of an indeterminate amount of the common shares of beneficial interest, preferred shares and debt securities up to an aggregate initial offering price of $100 million to or through one or more underwriters, dealers or agents, or directly to purchasers. The Form S-3 became effective on April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shares were issued under the Form S-3 since the effective date of April 30, 2024 through June 30, 2026. As of June 30, 2026, we have paid or incurred approximately $291,000 in various fees and expenses related to the Form S-3. The availability of the potential liquidity under this shelf registration statement depends on investor demand, market conditions and other factors. We make no assurance regarding when, or if, we will issue any securities under this registration statement. </w:t>
      </w:r>
    </w:p>
    <w:p>
      <w:pPr>
        <w:pStyle w:val="TextBody"/>
        <w:bidi w:val="0"/>
        <w:spacing w:before="120" w:after="283"/>
        <w:jc w:val="left"/>
        <w:rPr>
          <w:rFonts w:ascii="Times New Roman" w:hAnsi="Times New Roman"/>
          <w:sz w:val="20"/>
        </w:rPr>
      </w:pPr>
      <w:r>
        <w:rPr>
          <w:rFonts w:ascii="Times New Roman" w:hAnsi="Times New Roman"/>
          <w:b/>
          <w:color w:val="000000"/>
          <w:sz w:val="20"/>
        </w:rPr>
        <w:t>(4) Acquisitions, Divestitures and New Construction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Acquisitions: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acquisitions during the six-month periods ended June 30, 2026 and 2025. </w:t>
      </w:r>
    </w:p>
    <w:p>
      <w:pPr>
        <w:pStyle w:val="TextBody"/>
        <w:bidi w:val="0"/>
        <w:spacing w:before="120" w:after="283"/>
        <w:jc w:val="left"/>
        <w:rPr>
          <w:rFonts w:ascii="Times New Roman" w:hAnsi="Times New Roman"/>
          <w:sz w:val="20"/>
        </w:rPr>
      </w:pPr>
      <w:r>
        <w:rPr>
          <w:rFonts w:ascii="Times New Roman" w:hAnsi="Times New Roman"/>
          <w:i/>
          <w:color w:val="000000"/>
          <w:sz w:val="20"/>
        </w:rPr>
        <w:t>Divestitures: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2026, we sold one of our three parcels of land located in Chicago, Illinois, for cash proceeds of $746,000, net of closing and related costs. The parcel sold represented approximately 14% of the total acreage. This sale generated a gain of approximately $724,000, which is included in our consolidated statements of income for the three and six-month periods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divestitures during the six-month period ended June 30, 2025.</w:t>
      </w:r>
    </w:p>
    <w:p>
      <w:pPr>
        <w:pStyle w:val="TextBody"/>
        <w:bidi w:val="0"/>
        <w:spacing w:before="120" w:after="283"/>
        <w:jc w:val="left"/>
        <w:rPr>
          <w:rFonts w:ascii="Times New Roman" w:hAnsi="Times New Roman"/>
          <w:sz w:val="20"/>
        </w:rPr>
      </w:pPr>
      <w:r>
        <w:rPr>
          <w:rFonts w:ascii="Times New Roman" w:hAnsi="Times New Roman"/>
          <w:i/>
          <w:color w:val="000000"/>
          <w:sz w:val="20"/>
        </w:rPr>
        <w:t>New Construction: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2025, we entered into a ground lease with a wholly-owned subsidiary of UHS with the intent to develop, construct and own the Miller Medical Plaza, an 80,000 square foot MOB located in Palm Beach Gardens, Florida. Construction of this MOB, for which we have engaged a wholly-owned subsidiary of UHS to act as project manager, commenced in February, 2026, and is expected to be completed in December, 2026. The cost of the MOB is estimated to be approximately $34 million. This MOB will be located on the campus of the Alan B. Miller Medical Center, a newly constructed acute care hospital owned and operated by a wholly-owned subsidiary of UHS, which was completed and opened in May, 2026. A wholly-owned subsidiary of UHS has executed a 10-year master flex lease agreement, which commences when building is completed and is subject to reduction based on the execution of third-party leases, for approximately 75% of the rentable square feet of the MOB.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 Summarized Financial Information of Equity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U.S. GAAP and guidance relating to accounting for investments and real estate ventures, we account for our unconsolidated investments in LLCs/LPs which we do not control using the equity method of accounting. The third-party members in these investments have equal voting rights with regards to issues such as, but not limited to: (i) divestiture of property; (ii) annual budget approval, and; (iii) financing commitments. These investments, which represent 33% to 95% non-controlling ownership interests, are recorded initially at our cost and subsequently adjusted for our net equity in the net income, cash contributions to, and distributions from, the investments. Pursuant to certain agreements, allocations of sales proceeds and profits and losses of some of the LLC investments may be allocated disproportionately as compared to ownership interests after specified preferred return rate thresholds have been satisfied.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Distributions received from equity method investees in the consolidated statements of cash flows are classified based upon the nature of the distribution. Returns on investments are presented net of equity in income from unconsolidated investments as cash flows from operating activities. Returns of investments are classified as cash flows from investing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2026, we have non-controlling equity investments or commitments in four jointly-owned LLCs/LPs which own MOBs. As of June 30, 2026 we accounted for these LLCs/LPs on an unconsolidated basis pursuant to the equity method since they are not variable interest entities which we are the primary beneficiary nor do we have a controlling voting interest. The majority of these entities are joint-ventures between us and non-related parties that hold minority ownership interests in the entities. Each entity is generally self-sustained from a cash flow perspective and generates sufficient cash flow to meet its operating cash flow requirements and service the third-party debt (if applicable) that is non-recourse to us. Although there is typically no ongoing financial support required from us to these entities since they are cash-flow sufficient, we may, from time to time, provide funding for certain purposes such as, but not limited to, significant capital expenditures, leasehold improvements and debt financing. Although we are not obligated to do so, if approved by us at our sole discretion, additional cash funding is typically advanced as equity or member loans. These entities maintain property insurance on the properties.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property table represents the four LLCs/LPs in which we owned a non-controlling interest and were accounted for under the equity method as of June 30, 2026:</w:t>
      </w:r>
    </w:p>
    <w:tbl>
      <w:tblPr>
        <w:tblW w:w="6476" w:type="dxa"/>
        <w:jc w:val="left"/>
        <w:tblInd w:w="0" w:type="dxa"/>
        <w:tblLayout w:type="fixed"/>
        <w:tblCellMar>
          <w:top w:w="28" w:type="dxa"/>
          <w:left w:w="28" w:type="dxa"/>
          <w:bottom w:w="28" w:type="dxa"/>
          <w:right w:w="28" w:type="dxa"/>
        </w:tblCellMar>
      </w:tblPr>
      <w:tblGrid>
        <w:gridCol w:w="2461"/>
        <w:gridCol w:w="146"/>
        <w:gridCol w:w="279"/>
        <w:gridCol w:w="607"/>
        <w:gridCol w:w="271"/>
        <w:gridCol w:w="146"/>
        <w:gridCol w:w="256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of LLC/LP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Owned by LLC/LP</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Suburban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Matthews Medical Plaza II</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Brunswick Associates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 Coast Hospital MOB</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FTX MOB Phase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Forney Medical Plaza II</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Grayson Properties II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Texoma Medical Plaza II</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sans-serif" w:hAnsi="sans-serif"/>
          <w:sz w:val="22"/>
        </w:rPr>
      </w:pPr>
      <w:r>
        <w:rPr>
          <w:rFonts w:ascii="Times New Roman" w:hAnsi="Times New Roman"/>
          <w:color w:val="000000"/>
          <w:sz w:val="20"/>
        </w:rPr>
        <w:t>This LLC has a third-party term loan of $7.7</w:t>
      </w:r>
      <w:r>
        <w:rPr>
          <w:rFonts w:ascii="sans-serif" w:hAnsi="sans-serif"/>
          <w:color w:val="000000"/>
          <w:sz w:val="22"/>
        </w:rPr>
        <w:t xml:space="preserve"> </w:t>
      </w:r>
      <w:r>
        <w:rPr>
          <w:rFonts w:ascii="Times New Roman" w:hAnsi="Times New Roman"/>
          <w:color w:val="000000"/>
          <w:sz w:val="20"/>
        </w:rPr>
        <w:t>million, which is non-recourse to us, outstanding as of June 30,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the lessee with a third party on a ground lease for land.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sans-serif" w:hAnsi="sans-serif"/>
          <w:sz w:val="22"/>
        </w:rPr>
      </w:pPr>
      <w:r>
        <w:rPr>
          <w:rFonts w:ascii="Times New Roman" w:hAnsi="Times New Roman"/>
          <w:color w:val="000000"/>
          <w:sz w:val="20"/>
        </w:rPr>
        <w:t>This LP constructed, owns and operates the Texoma Medical Plaza II which is located in Denison, Texas, on the campus of a hospital owned and operated by a wholly-owned subsidiary of UHS. We have committed to invest up to</w:t>
      </w:r>
      <w:r>
        <w:rPr>
          <w:rFonts w:ascii="sans-serif" w:hAnsi="sans-serif"/>
          <w:color w:val="000000"/>
          <w:sz w:val="22"/>
        </w:rPr>
        <w:t xml:space="preserve"> </w:t>
      </w:r>
      <w:r>
        <w:rPr>
          <w:rFonts w:ascii="Times New Roman" w:hAnsi="Times New Roman"/>
          <w:color w:val="000000"/>
          <w:sz w:val="20"/>
        </w:rPr>
        <w:t>$10.1</w:t>
      </w:r>
      <w:r>
        <w:rPr>
          <w:rFonts w:ascii="sans-serif" w:hAnsi="sans-serif"/>
          <w:color w:val="000000"/>
          <w:sz w:val="22"/>
        </w:rPr>
        <w:t xml:space="preserve"> </w:t>
      </w:r>
      <w:r>
        <w:rPr>
          <w:rFonts w:ascii="Times New Roman" w:hAnsi="Times New Roman"/>
          <w:color w:val="000000"/>
          <w:sz w:val="20"/>
        </w:rPr>
        <w:t>million in equity and debt financing, of which $8.3</w:t>
      </w:r>
      <w:r>
        <w:rPr>
          <w:rFonts w:ascii="sans-serif" w:hAnsi="sans-serif"/>
          <w:color w:val="000000"/>
          <w:sz w:val="22"/>
        </w:rPr>
        <w:t xml:space="preserve"> </w:t>
      </w:r>
      <w:r>
        <w:rPr>
          <w:rFonts w:ascii="Times New Roman" w:hAnsi="Times New Roman"/>
          <w:color w:val="000000"/>
          <w:sz w:val="20"/>
        </w:rPr>
        <w:t>million, net, has been funded as of June 30, 2026.</w:t>
      </w:r>
      <w:r>
        <w:rPr>
          <w:rFonts w:ascii="sans-serif" w:hAnsi="sans-serif"/>
          <w:color w:val="000000"/>
          <w:sz w:val="22"/>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Below are the condensed combined statements of income (unaudited) for the four LLCs/LPs accounted for under the equity method at June 30, 2026 and 2025: </w:t>
      </w:r>
    </w:p>
    <w:tbl>
      <w:tblPr>
        <w:tblW w:w="6937"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146"/>
        <w:gridCol w:w="146"/>
        <w:gridCol w:w="211"/>
        <w:gridCol w:w="571"/>
        <w:gridCol w:w="146"/>
        <w:gridCol w:w="146"/>
        <w:gridCol w:w="211"/>
        <w:gridCol w:w="5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share of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Below are the condensed combined balance sheets (unaudited) for the four above-mentioned LLCs/LPs that were accounted for under the equity method as of June 30, 2026 and December 31, 2025: </w:t>
      </w:r>
    </w:p>
    <w:p>
      <w:pPr>
        <w:pStyle w:val="TextBody"/>
        <w:bidi w:val="0"/>
        <w:jc w:val="left"/>
        <w:rPr/>
      </w:pPr>
      <w:r>
        <w:rPr/>
        <w:t> </w:t>
      </w:r>
    </w:p>
    <w:tbl>
      <w:tblPr>
        <w:tblW w:w="8067" w:type="dxa"/>
        <w:jc w:val="left"/>
        <w:tblInd w:w="0" w:type="dxa"/>
        <w:tblLayout w:type="fixed"/>
        <w:tblCellMar>
          <w:top w:w="28" w:type="dxa"/>
          <w:left w:w="28" w:type="dxa"/>
          <w:bottom w:w="28" w:type="dxa"/>
          <w:right w:w="28" w:type="dxa"/>
        </w:tblCellMar>
      </w:tblPr>
      <w:tblGrid>
        <w:gridCol w:w="5416"/>
        <w:gridCol w:w="146"/>
        <w:gridCol w:w="211"/>
        <w:gridCol w:w="676"/>
        <w:gridCol w:w="166"/>
        <w:gridCol w:w="146"/>
        <w:gridCol w:w="260"/>
        <w:gridCol w:w="835"/>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property, including 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notes payable, non-recourse to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LLCs before amounts included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Amounts included in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share of equity in LLCs,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Other assets and other liabilities as of June 30, 2026 and December 31, 2025 include approximately $644,000 and $646,000, respectively, of right-of-use land assets and right-of-use land liabilities related to ground leases whereby the LLC/LP is the lessee, with third party lessors, including subsidiaries of UHS.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aggregate principal amounts due on mortgage notes payable by unconsolidated LLCs/LPs, which are accounted for under the equity method and are non-recourse to us, are as follows (amounts in thousands):</w:t>
      </w:r>
    </w:p>
    <w:tbl>
      <w:tblPr>
        <w:tblW w:w="8677" w:type="dxa"/>
        <w:jc w:val="left"/>
        <w:tblInd w:w="0" w:type="dxa"/>
        <w:tblLayout w:type="fixed"/>
        <w:tblCellMar>
          <w:top w:w="28" w:type="dxa"/>
          <w:left w:w="28" w:type="dxa"/>
          <w:bottom w:w="28" w:type="dxa"/>
          <w:right w:w="28" w:type="dxa"/>
        </w:tblCellMar>
      </w:tblPr>
      <w:tblGrid>
        <w:gridCol w:w="4606"/>
        <w:gridCol w:w="146"/>
        <w:gridCol w:w="245"/>
        <w:gridCol w:w="664"/>
        <w:gridCol w:w="169"/>
        <w:gridCol w:w="169"/>
        <w:gridCol w:w="246"/>
        <w:gridCol w:w="669"/>
        <w:gridCol w:w="146"/>
        <w:gridCol w:w="146"/>
        <w:gridCol w:w="147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Mortgage Loan Balance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of LLC/LP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6/30/2026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Brunswick Associates (2.80% fixed rate mortgage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2030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pPr>
      <w:r>
        <w:rPr>
          <w:rFonts w:ascii="Times New Roman" w:hAnsi="Times New Roman"/>
          <w:color w:val="000000"/>
          <w:sz w:val="20"/>
        </w:rPr>
        <w:t>Mortgage loan requires monthly principal payments through maturity and includes a balloon principal payment upon maturity.</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operating and/or partnership agreements of the four LLCs/LPs in which we continue to hold non-controlling ownership interests, the third-party member and the Trust, at any time, potentially subject to certain conditions, have the right to make an offer (“Offering Member”) to the other member(s) (“Non-Offering Member”) in which it either agrees to: (i) sell the entire ownership interest of the Offering Member to the Non-Offering Member at a price as determined by the Offering Member (“Transfer Price”), or; (ii) purchase the entire ownership interest of the Non-Offering Member at the equivalent proportionate Transfer Price. The Non-Offering Member has 60 to 90 days to either: (i) purchase the entire ownership interest of the Offering Member at the Transfer Price, or; (ii) sell its entire ownership interest to the Offering Member at the equivalent proportionate Transfer Price. The closing of the transfer must occur within 60 to 90 days of the acceptance by the Non-Offering Member.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FASB issued ASU 2025-09, “Derivatives and Hedging (Topic 815), Hedging Accounting Improvements. ASU 2025-09 intends to more closely align hedge accounting with the economics of an entity's risk management activities. This ASU is effective for fiscal years beginning after December 15, 2026, including interim periods within those fiscal years. We are currently evaluating the impact this new standard will have on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ASU 2024-03, “Income Statement-Reporting Comprehensive Income-Expense Disaggregation Disclosures (subtopic 220-40)". ASU 2024-03 requires disclosures, in the notes to financial statements, of specified information about certain costs and expenses. This ASU is effective for fiscal years beginning after December 15, 2026, and interim periods within fiscal years beginning after December 15, 2027. We are currently evaluating the impact this new standard will have on the related disclosures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unless otherwise indicated above, we believe the new guidance will not have a material impact on our results of operations, cash flows or financial position.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Lease Accounting</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As Lessor:</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lease most of our operating properties to customers under agreements that are typically classified as operating leases (two of our leases are accounted for as financing arrangements as discussed in </w:t>
      </w:r>
      <w:r>
        <w:rPr>
          <w:rFonts w:ascii="Times New Roman" w:hAnsi="Times New Roman"/>
          <w:i/>
          <w:color w:val="000000"/>
          <w:sz w:val="20"/>
        </w:rPr>
        <w:t>Note 2-Relationship with Universal Health Services, Inc. and Related Party Transactions</w:t>
      </w:r>
      <w:r>
        <w:rPr>
          <w:rFonts w:ascii="Times New Roman" w:hAnsi="Times New Roman"/>
          <w:color w:val="000000"/>
          <w:sz w:val="20"/>
        </w:rPr>
        <w:t xml:space="preserve">). We recognize the total minimum lease payments provided for under the operating leases on a straight-line basis over the lease term. Generally, under the terms of our leases, the majority of our rental expenses, including common area maintenance, real estate taxes and insurance are recovered from our tenants. We record amounts reimbursed by tenants in the period that the applicable expenses are incurred, which is generally ratably throughout the term of the lease. We have elected the package of practical expedients that allows lessors to not separate lease and non-lease components by class of underlying asset. This practical expedient allowed us to not separate expenses reimbursed by our tenants (“tenant reimbursements”) from the associated rental revenue if certain criteria were met. We assessed these criteria and concluded that the timing and pattern of transfer for rental revenue and the associated tenant reimbursements are the same, and for the leases that qualify as operating leases, we accounted for and presented rental revenue and tenant reimbursements as a single component under Lease revenue in our consolidated statements of income for the three and six months ended June 30, 2026 and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the “Lease revenue – UHS facilities” and “Lease revenue – Non-related parties” captions for the three and six month periods ended June 30, 2026 and 2025 are disaggregated below (in thousands). Base rents are primarily stated rent amounts provided for under the leases that are recognized on a straight-line basis over the term of the lease. Bonus rents and tenant reimbursements represent amounts where tenants are contractually obligated to pay an amount that is variable in nature.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6" w:type="dxa"/>
        <w:jc w:val="left"/>
        <w:tblInd w:w="0" w:type="dxa"/>
        <w:tblLayout w:type="fixed"/>
        <w:tblCellMar>
          <w:top w:w="28" w:type="dxa"/>
          <w:left w:w="28" w:type="dxa"/>
          <w:bottom w:w="28" w:type="dxa"/>
          <w:right w:w="28" w:type="dxa"/>
        </w:tblCellMar>
      </w:tblPr>
      <w:tblGrid>
        <w:gridCol w:w="2971"/>
        <w:gridCol w:w="211"/>
        <w:gridCol w:w="676"/>
        <w:gridCol w:w="146"/>
        <w:gridCol w:w="146"/>
        <w:gridCol w:w="211"/>
        <w:gridCol w:w="676"/>
        <w:gridCol w:w="146"/>
        <w:gridCol w:w="146"/>
        <w:gridCol w:w="211"/>
        <w:gridCol w:w="676"/>
        <w:gridCol w:w="146"/>
        <w:gridCol w:w="146"/>
        <w:gridCol w:w="211"/>
        <w:gridCol w:w="67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UHS facilities: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rents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Bonus rents (a.)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reimbursements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 - UHS facilities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Non-related parties: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rents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reimbursements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 - Non-related parties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Consists of bonus rental earned in connection with McAllen Medical Center, a UHS acute care hospital facility.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As Lessee: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the lessee with various third parties, including subsidiaries of UHS, in connection with ground leases for land at 16 of our consolidated properties as of June 30, 2026. Our right-of-use land assets represent our right to use the land for the lease term and our lease liabilities represent our obligation to make lease payments arising from the leases. Right-of-use assets and lease liabilities were recognized upon adoption of Topic 842 based on the present value of lease payments over the lease term. We utilized our estimated incremental borrowing rate, which was derived from information available as of January 1, 2019, or the commencement date of the ground lease, whichever is later, in determining the present value of lease payments for active leases on that date. A right-of-use asset and lease liability are not recognized for leases with an initial term of 12 months or less, as these short-term leases are accounted for similarly to previous guidance for operating leases. We do not currently have any ground leases with an initial term of 12 months or less. As of June 30, 2026, our condensed consolidated balance sheet includes right-of-use land assets of approximately $11.4 million and ground lease liabilities of approximately $11.4 million. </w:t>
      </w:r>
    </w:p>
    <w:p>
      <w:pPr>
        <w:pStyle w:val="TextBody"/>
        <w:bidi w:val="0"/>
        <w:spacing w:before="120" w:after="283"/>
        <w:jc w:val="left"/>
        <w:rPr>
          <w:rFonts w:ascii="Times New Roman" w:hAnsi="Times New Roman"/>
          <w:sz w:val="20"/>
        </w:rPr>
      </w:pPr>
      <w:r>
        <w:rPr>
          <w:rFonts w:ascii="Times New Roman" w:hAnsi="Times New Roman"/>
          <w:i/>
          <w:color w:val="000000"/>
          <w:sz w:val="20"/>
        </w:rPr>
        <w:t>Disclosures Related to Certain Hospital Facilities: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Chicago, Illinois - Land: </w:t>
      </w:r>
      <w:r>
        <w:rPr>
          <w:rFonts w:ascii="Times New Roman" w:hAnsi="Times New Roman"/>
          <w:color w:val="000000"/>
          <w:sz w:val="20"/>
        </w:rPr>
        <w:t>Demolition of the former hospital was completed during 2023. In June 2026, we sold one of our three parcels of land located in Chicago, Illinois, for cash proceeds of $746,000, net of closing and related costs.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Evansville, Indiana - Specialty Facility: </w:t>
      </w:r>
      <w:r>
        <w:rPr>
          <w:rFonts w:ascii="Times New Roman" w:hAnsi="Times New Roman"/>
          <w:color w:val="000000"/>
          <w:sz w:val="20"/>
        </w:rPr>
        <w:t xml:space="preserve">The facility has been vacant since 2019.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aggregate operating expenses incurred by us in connection with these properties were $118,000 for the three-month period ended June 30, 2026 and $151,000 for the three-month period ended June 30, 2025. The aggregate operating expenses incurred by us in connection with these properties were $262,000 for the six-month period ended June 30, 2026 and $321,000 for the six-month period ended June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 to market the remaining Chicago, Illinois property and Evansville, Indiana property to third parties. Future operating expenses related to these properties will be incurred by us during the time they remain owned and unleased.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Debt and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Management routinely monitors and analyzes the Trust’s capital structure in an effort to maintain the targeted balance among capital resources including the level of borrowings pursuant to our revolving credit facility, the level of borrowings pursuant to non-recourse mortgage debt secured by the real property of our properties and our level of equity including consideration of equity issuances. This ongoing analysis considers factors such as the current debt market and interest rate environment, the current/projected occupancy and financial performance of our properties, the current loan-to-value ratio of our properties, the Trust’s current stock price, the capital resources required for anticipated acquisitions and the expected capital to be generated by anticipated divestitures. This analysis, together with consideration of the Trust’s current borrowings outstanding under the credit agreement, non-recourse mortgage borrowings and equity, assists management in deciding which capital resource to utilize when events such as refinancing of specific debt components occur or additional funds are required to finance the Trust’s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April 21, 2026, we entered into the First Amendment ("First Amendment") to the Second Amended and Restated Credit Agreement, among the Trust as borrower, the lenders party thereto and Wells Fargo Bank, N.A., as administrative agent ("Credit Agreement"). Pursuant to the terms of the First Amendment, among other things, the borrowing capacity was increased to $475 million (from $425 million previously) and the minimum tangible net worth requirement was changed to $100 million (from $125 million previously). The maturity date, which was unchanged, is September 30, 2028, and we have the option to extend the maturity date for two additional six-month periods.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Credit Agreement, as amended by the First Amendment, is comprised of $175 million of non-amortizing term loans and a $300 million revolving loan commitment which includes a $40 million sublimit for letters of credit, and a $30 million sublimit for swingline/short-term loans. Under the terms of the Credit Agreement, we may request that the revolving line of credit and/or the Term Loan be increased by up to an additional aggregate amount of $50 million. Borrowings under the Credit Agreement are guaranteed by certain subsidiaries of the Trust. In addition, borrowings are secured by first priority security interests in and liens on all equity interests in most of the Trust’s wholly-owned subsidiaries. </w:t>
      </w:r>
    </w:p>
    <w:p>
      <w:pPr>
        <w:pStyle w:val="TextBody"/>
        <w:bidi w:val="0"/>
        <w:jc w:val="both"/>
        <w:rPr>
          <w:rFonts w:ascii="Times New Roman" w:hAnsi="Times New Roman"/>
          <w:sz w:val="20"/>
        </w:rPr>
      </w:pPr>
      <w:r>
        <w:rPr>
          <w:rFonts w:ascii="Times New Roman" w:hAnsi="Times New Roman"/>
          <w:color w:val="000000"/>
          <w:sz w:val="20"/>
        </w:rPr>
        <w:t>Borrowings under the Credit Agreement will bear interest at a rate equal to, at our option, term SOFR for either one, three, or six months or the Base Rate, plus in either case, a specified margin depending on our total leverage ratio, as determined by the formula set forth in the Credit Agreement. The applicable margin on revolving loans range from 1.10% to 1.35% for Adjusted Term SOFR loans and 0.10% to 0.35% for Base Rate loans. T</w:t>
      </w:r>
      <w:r>
        <w:rPr>
          <w:rFonts w:ascii="Times New Roman" w:hAnsi="Times New Roman"/>
          <w:color w:val="202529"/>
          <w:sz w:val="20"/>
        </w:rPr>
        <w:t>he applicable margin on term loans range from 1.20% to 1.65% for Adjusted Term SOFR loans and 0.20% to 0.65% for Base Rate loans.</w:t>
      </w:r>
      <w:r>
        <w:rPr>
          <w:rFonts w:ascii="Times New Roman" w:hAnsi="Times New Roman"/>
          <w:color w:val="000000"/>
          <w:sz w:val="20"/>
        </w:rPr>
        <w:t xml:space="preserve"> The Credit Agreement defines “Base Rate” as the greatest of (a) the Administrative Agent’s prime rate, (b) the federal funds effective rate plus 1/2 of 1%, and (c) one month Adjusted Term SOFR plus 1%. The Trust will also pay a quarterly facility fee on the $300 million revolving loan commitment ranging from 0.15% to 0.35% (depending on the Trust’s total leverage ratio).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margins over Adjusted Term SOFR, Base Rate and the facility fee are based upon our total leverage ratio. At June 30, 2026, the applicable margin over the Adjusted Term SOFR rate for revolving loans was 1.20%, the margin over the Base Rate was 0.20% and the facility fee was 0.20%. At June 30, 2025, the applicable margin over the Adjusted Term SOFR rate for term loans was 1.20%, the margin over the Base Rate was 0.20% and the facility fee was 0.20%.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we had $365.6 million of outstanding borrowings pursuant to the terms of our Credit Agreement, and $109.4 million of available borrowing capacity. At December 31, 2025 (prior to the First Amendment), we had $356.2 million of outstanding borrowings pursuant to the terms of our Credit Agreement, and $68.8 million of available borrowing capacity. There are no compensating balance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is structured to allow the Trust to select a one, three or six-month borrowing term for all borrowings on the Term Loan and revolving line of credit, which can be renewed through the commitment period that matures on September 30, 2028. In our consolidated statements of cash flows, we report cash flows pursuant to our Credit Agreement on a net basis, as all borrowings under the Credit Agreement have a term of less than three months as of June 30, 2026 and 2025. Aggregate borrowings under our Credit Agreement were $19.1 million and $19.6 million during the quarters ended June 30, 2026 and 2025, respectively, and aggregate repayments were $13.1 million and $14.3 million during the quarters ended June 30, 2026 and 2025, respectively. Aggregate borrowings under our Credit Agreement were $33.9 million and $32.6 million during the six-months ended June 30, 2026 and 2025, respectively, and aggregate repayments were $24.6 million and $26.7 million during the six-months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customary affirmative and negative covenants, including limitations on certain indebtedness, liens, acquisitions and other investments, fundamental changes, asset dispositions and dividends and other distributions. The Credit Agreement also contains restrictive covenants regarding the Trust’s ratio of total debt to total assets, the fixed charge coverage ratio, the ratio of total secured debt to total asset value, the ratio of total unsecured debt to total unencumbered asset value, and minimum tangible net worth, as well as customary events of default, the occurrence of which may trigger an acceleration of amounts then outstanding under the Credit Agreement. We were in compliance with all of the covenants in the Credit Agreement at each of June 30, 2026 and December 31, 2025. We also believe that we would remain in compliance if, based on the assumption that the majority of the potential new borrowings will be used to fund investments, the full amount of our commitment was borrowed.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includes a summary of the required compliance ratios, giving effect to the covenants contained in the Credit Agreement (dollar amounts in thousands):</w:t>
      </w:r>
    </w:p>
    <w:tbl>
      <w:tblPr>
        <w:tblW w:w="6193" w:type="dxa"/>
        <w:jc w:val="left"/>
        <w:tblInd w:w="0" w:type="dxa"/>
        <w:tblLayout w:type="fixed"/>
        <w:tblCellMar>
          <w:top w:w="28" w:type="dxa"/>
          <w:left w:w="28" w:type="dxa"/>
          <w:bottom w:w="28" w:type="dxa"/>
          <w:right w:w="28" w:type="dxa"/>
        </w:tblCellMar>
      </w:tblPr>
      <w:tblGrid>
        <w:gridCol w:w="2086"/>
        <w:gridCol w:w="146"/>
        <w:gridCol w:w="1141"/>
        <w:gridCol w:w="146"/>
        <w:gridCol w:w="211"/>
        <w:gridCol w:w="781"/>
        <w:gridCol w:w="271"/>
        <w:gridCol w:w="233"/>
        <w:gridCol w:w="862"/>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Tangible net worth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 $100,000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leverage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Unencumbered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charge coverage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&gt;=1.50x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3.5x</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3.3x</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As discussed above, in April, 2026, the minimum tangible net worth requirement was changed to $100 million pursuant to the terms of the First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indicated on the following table, we have various mortgages, all of which are non-recourse to us, included on our condensed consolidated balance sheet as of June 30, 2026 (amounts in thousands):</w:t>
      </w:r>
    </w:p>
    <w:tbl>
      <w:tblPr>
        <w:tblW w:w="9563" w:type="dxa"/>
        <w:jc w:val="left"/>
        <w:tblInd w:w="0" w:type="dxa"/>
        <w:tblLayout w:type="fixed"/>
        <w:tblCellMar>
          <w:top w:w="28" w:type="dxa"/>
          <w:left w:w="28" w:type="dxa"/>
          <w:bottom w:w="28" w:type="dxa"/>
          <w:right w:w="28" w:type="dxa"/>
        </w:tblCellMar>
      </w:tblPr>
      <w:tblGrid>
        <w:gridCol w:w="5086"/>
        <w:gridCol w:w="146"/>
        <w:gridCol w:w="338"/>
        <w:gridCol w:w="1087"/>
        <w:gridCol w:w="166"/>
        <w:gridCol w:w="146"/>
        <w:gridCol w:w="157"/>
        <w:gridCol w:w="504"/>
        <w:gridCol w:w="271"/>
        <w:gridCol w:w="146"/>
        <w:gridCol w:w="1516"/>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Facility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Outstanding</w:t>
              <w:br/>
              <w:t>Balance</w:t>
              <w:br/>
              <w:t>(in</w:t>
            </w:r>
            <w:r>
              <w:rPr>
                <w:rFonts w:ascii="Times New Roman" w:hAnsi="Times New Roman"/>
                <w:color w:val="000000"/>
                <w:sz w:val="16"/>
              </w:rPr>
              <w:t xml:space="preserve"> </w:t>
            </w:r>
            <w:r>
              <w:rPr>
                <w:rFonts w:ascii="Times New Roman" w:hAnsi="Times New Roman"/>
                <w:b/>
                <w:color w:val="000000"/>
                <w:sz w:val="16"/>
              </w:rPr>
              <w:t>thousands)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Date</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Phoenix Children’s East Valley Care Center fixed rate </w:t>
              <w:br/>
              <w:t>   mortgage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2030</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Rosenberg Children's Medical Plaza fixed rate mortgage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2033</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excluding net debt premium and net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net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mortgages notes payable, non-recourse to us,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color w:val="000000"/>
          <w:sz w:val="20"/>
        </w:rPr>
        <w:t>All mortgage loans require monthly principal payments through maturity and either fully amortize or include a balloon principal payment upon maturity.</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a fixed rate mortgage loan on Tuscan Professional Building, with a remaining balance of $122,000 as of that date, was fully repaid upon its scheduled maturity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2026 and December 31, 2025, we had various mortgages, all of which were non-recourse to us, included in our condensed consolidated balance sheet. The mortgages are secured by the real property of the buildings as well as property leases and rents. The mortgages outstanding as of June 30, 2026, had a combined carrying value of approximately $18.3 million and a combined fair value of approximately $17.1 million. The mortgages outstanding as of December 31, 2025, had a combined carrying value of approximately $18.6 million and a combined fair value of approximately $17.5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our debt was computed based upon quotes received from financial institutions. We consider these to be “level 2” in the fair value hierarchy as outlined in the authoritative guidance for disclosure in connection with debt instruments. Changes in market rates on our fixed rate debt impacts the fair value of debt, but it has no impact on interest incurred or cash flow.</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we entered into an interest rate swap agreement on a total notional amount of $85 million with a fixed interest rate of 3.2725% that we designated as a cash flow hedge. The interest rate swap became effective on October 2, 2024 and is scheduled to mature on September 30, 2028. If one-month term SOFR is above 3.2725%, the counterparty pays us, and if one-month term SOFR is less than 3.2725%, we pay the counterparty, the difference between the fixed rate of 3.2725% and one-month term SOFR. This interest rate swap was entered into in replacement of two interest rate swap agreements, on an aggregate total notional amount of $85 million, that expired on September 16,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we entered into an interest rate swap agreement on a total notional amount of $25 million with a fixed interest rate of 3.9495% that we designated as a cash flow hedge. The interest rate swap became effective on December 1, 2023 and is scheduled to mature on December 1, 2027. If one-month term SOFR is above 3.9495%, the counterparty pays us, and if one-month term SOFR is less than 3.9495%, we pay the counterparty, the difference between the fixed rate of 3.9495% and one-month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we entered into an interest rate swap agreement on a total notional amount of $55 million with a fixed interest rate of 0.565% that we designated as a cash flow hedge. The interest rate swap became effective on March 25, 2020 and is scheduled to mature on March 25, 2027. On May 15, 2023, this interest rate swap agreement was modified to replace the benchmark rate from LIBOR to term SOFR. If one-month term SOFR is above 0.505%, the counterparty pays us, and if one-month term SOFR is less than 0.505%, we pay the counterparty, the difference between the fixed rate of 0.505% and one-month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measure our interest rate swaps at fair value on a recurring basis. The fair value of our interest rate swaps is based on quotes from third parties. We consider those inputs to be “level 2” in the fair value hierarchy as outlined in the authoritative guidance for disclosures in connection with derivative instruments and hedging activities. At June 30, 2026, the fair value of our interest rate swaps was a net asset of $2.6 million which is included in deferred charges and other assets on the accompanying condensed consolidated balance sheet. During the first six months of 2026, we received approximately $1.0 million, net, from the counterparties, adjusted for the previous quarter accrual, pursuant to the terms of the swaps (consisting of $1.0 million due to us from the counterparties, partially offset by $36,000 due to the counterparties from us). During the second quarter of 2026, we received approximately $498,000, net, from the counterparties, adjusted for the previous quarter accrual, pursuant to the terms of the swaps (consisting of $517,000 due to us from the counterparties, partially offset by $19,000 due to the counterparties from us). During the first six months of 2025, we received approximately $1.6 million from the counterparties, adjusted for the previous quarter accrual, pursuant to the terms of the swaps. During the second quarter of 2025, we received approximately $780,000 from the counterparties, adjusted for the previous quarter accrual,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swaps. Cash flow hedges are accounted for by recording the fair value of the derivative instrument on the balance sheet as either an asset or a liability, with a corresponding amount recorded in accumulated other comprehensive income (“AOCI”) within shareholders’ equity. Amounts are reclassified from AOCI to the income statement in the period or periods the hedged transaction affects earnings. We do not expect any gains or losses on our interest rate swaps to be reclassified to earnings in the next twelve months.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120" w:after="283"/>
        <w:jc w:val="both"/>
        <w:rPr>
          <w:rFonts w:ascii="sans-serif" w:hAnsi="sans-serif"/>
          <w:sz w:val="22"/>
        </w:rPr>
      </w:pPr>
      <w:r>
        <w:rPr>
          <w:rFonts w:ascii="Times New Roman" w:hAnsi="Times New Roman"/>
          <w:color w:val="000000"/>
          <w:sz w:val="20"/>
        </w:rPr>
        <w:t>An operating segment is a component of a public entity that engages in business activities from which it may earn revenues and incur expenses and has discrete financial information available that is regularly reviewed by the chief operating decision maker (the “CODM”). Our primary business is investing in and leasing healthcare and human service facilities through direct ownership or through joint ventures, which aggregate into a single reportable segment. We actively manage our portfolio of healthcare and human service facilities and may from time to time make decisions to sell lower performing properties not meeting our long-term investment objectives. The proceeds of sales are typically reinvested in new developments or acquisitions, which we believe will meet our planned rate of return. It is our intent that all healthcare and human service facilities will be owned or developed for investment purposes. Our consolidated revenue and consolidated net income are generated from the operation of our investment portfolio. Our CODM is the Chairman of the Board, Chief Executive Officer and President</w:t>
      </w:r>
      <w:r>
        <w:rPr>
          <w:rFonts w:ascii="sans-serif" w:hAnsi="sans-serif"/>
          <w:color w:val="000000"/>
          <w:sz w:val="22"/>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portfolio is located throughout the United States, however, we do not distinguish or group our operations on a geographical or any other basis for purposes of allocating resources or measuring performance. We review operating and financial data for each property on an individual basis; therefore, each property represents an individual operating segment. Individual properties have been aggregated into one reportable segment based upon their similarities with regard to both the nature and economics of the facilities, tenants and operational processes, as well as long-term average financial performance. No individual property meets the requirements necessary to be considered its own reportable segment. We do not have intra-entity sales or transfers. The presentation of financial results as a single reportable segment is consistent with the way our CODM allocates resources or measures performance.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accounting policies of our portfolio are the same as those described in the summary of significant accounting policies included in our Annual Report on Form 10-K for the year ended December 31, 2025. The CODM measures and assesses financial performance generated from each property primarily based upon consolidated net income and decides how to allocate resources. Consolidated net income is also used to monitor budget versus actual results in assessing the performance of our properties. The measure of segment assets is reported on the balance sheet as total consolidated assets. The CODM does not regularly review total assets for our single reportable segment, since total assets are generally not used to assess operating performance.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CODM uses consolidated net income to evaluate income from segment assets in deciding whether to reinvest profits into our portfolio of healthcare and human service facilities for recurring capital expenditures, or into other parts of the entity, such as for acquisitions, new developments, scheduled interest and principal payments on our debt, or to pay dividends.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following table presents information on our reported segment revenue and segment expenses that are included within our single reportable operating segment measure of profit or loss: </w:t>
      </w:r>
    </w:p>
    <w:tbl>
      <w:tblPr>
        <w:tblW w:w="9607" w:type="dxa"/>
        <w:jc w:val="left"/>
        <w:tblInd w:w="0" w:type="dxa"/>
        <w:tblLayout w:type="fixed"/>
        <w:tblCellMar>
          <w:top w:w="28" w:type="dxa"/>
          <w:left w:w="28" w:type="dxa"/>
          <w:bottom w:w="28" w:type="dxa"/>
          <w:right w:w="28" w:type="dxa"/>
        </w:tblCellMar>
      </w:tblPr>
      <w:tblGrid>
        <w:gridCol w:w="4446"/>
        <w:gridCol w:w="146"/>
        <w:gridCol w:w="211"/>
        <w:gridCol w:w="676"/>
        <w:gridCol w:w="166"/>
        <w:gridCol w:w="146"/>
        <w:gridCol w:w="211"/>
        <w:gridCol w:w="676"/>
        <w:gridCol w:w="166"/>
        <w:gridCol w:w="146"/>
        <w:gridCol w:w="211"/>
        <w:gridCol w:w="736"/>
        <w:gridCol w:w="166"/>
        <w:gridCol w:w="146"/>
        <w:gridCol w:w="211"/>
        <w:gridCol w:w="736"/>
        <w:gridCol w:w="41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Revenues from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on financing leases - UHS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Advisory fees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income of unconsolidated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bookmarkStart w:id="11" w:name="notes_to_consolidated_financials_end"/>
      <w:bookmarkEnd w:id="11"/>
      <w:r>
        <w:rPr>
          <w:rFonts w:ascii="Times New Roman" w:hAnsi="Times New Roman"/>
          <w:color w:val="000000"/>
          <w:sz w:val="20"/>
        </w:rPr>
        <w:t>(a.) Property operating expenses are primarily made up of property tax, utilities, maintenance, insurance and other costs related to the leasing of our real estate properties. Our CODM is not provided with further disaggregation and uses total operating expenses to manage the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2" w:name="item_2_managements_discussion_analysis_f"/>
      <w:bookmarkEnd w:id="12"/>
      <w:r>
        <w:rPr>
          <w:rFonts w:ascii="Times New Roman" w:hAnsi="Times New Roman"/>
          <w:b/>
          <w:color w:val="000000"/>
          <w:sz w:val="20"/>
          <w:u w:val="single"/>
        </w:rPr>
        <w:t>Item 2. Management’s Discussion and Analysis of</w:t>
      </w:r>
      <w:r>
        <w:rPr>
          <w:rFonts w:ascii="Times New Roman" w:hAnsi="Times New Roman"/>
          <w:color w:val="000000"/>
          <w:sz w:val="20"/>
          <w:u w:val="single"/>
        </w:rPr>
        <w:t xml:space="preserve"> </w:t>
      </w:r>
      <w:r>
        <w:rPr>
          <w:rFonts w:ascii="Times New Roman" w:hAnsi="Times New Roman"/>
          <w:b/>
          <w:color w:val="000000"/>
          <w:sz w:val="20"/>
          <w:u w:val="single"/>
        </w:rPr>
        <w:t>Financial Condition and Results of Operations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Management’s Discussion and Analysis of Financial Condition and Results of Operations (“MD&amp;A”) is intended to promote an understanding of our operating results and financial condition. The MD&amp;A is provided as a supplement to, and should be read in conjunction with, our Condensed Consolidated Financial Statements and the accompanying Notes to the Condensed Consolidated Financial Statements, as included in this Quarterly Report on Form 10-Q. The MD&amp;A contains forward-looking statements that involve risks, uncertainties, and assumptions. Actual results may differ materially from those anticipated in these forward-looking statements as a result of various factors, including, but not limited to, those presented below in </w:t>
      </w:r>
      <w:r>
        <w:rPr>
          <w:rFonts w:ascii="Times New Roman" w:hAnsi="Times New Roman"/>
          <w:i/>
          <w:color w:val="000000"/>
          <w:sz w:val="20"/>
        </w:rPr>
        <w:t>Forward-Looking Statements and Certain Risk Factors</w:t>
      </w:r>
      <w:r>
        <w:rPr>
          <w:rFonts w:ascii="Times New Roman" w:hAnsi="Times New Roman"/>
          <w:color w:val="000000"/>
          <w:sz w:val="20"/>
        </w:rPr>
        <w:t xml:space="preserve"> and in </w:t>
      </w:r>
      <w:r>
        <w:rPr>
          <w:rFonts w:ascii="Times New Roman" w:hAnsi="Times New Roman"/>
          <w:i/>
          <w:color w:val="000000"/>
          <w:sz w:val="20"/>
        </w:rPr>
        <w:t>Item 1A. Risk Factors</w:t>
      </w:r>
      <w:r>
        <w:rPr>
          <w:rFonts w:ascii="Times New Roman" w:hAnsi="Times New Roman"/>
          <w:color w:val="000000"/>
          <w:sz w:val="20"/>
        </w:rPr>
        <w:t xml:space="preserve"> as included in our Annual Report on Form 10-K for the year ended December 31, 2025.</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real estate investment trust (“REIT”) that commenced operations in 1986. We invest in healthcare and human-service related facilities currently including acute care hospitals, behavioral health care hospitals, specialty facilities, free-standing emergency departments, childcare centers and medical/office buildings. As of June 30, 2026, we have seventy-seven real estate investments or commitments in twenty-one states consisting 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six hospital facilities consisting of three acute care hospitals and three behavioral health care hospitals;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four free-standing emergency departments (“FEDs”);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sixty-one medical/office buildings (“MOBs”), including four owned by unconsolidated limited liability companies (“LLCs”)/limited liability partnerships (“LPs”);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four preschool and childcare centers;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specialty facility located in Evansville, Indiana, that is currently vacant,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vacant land located in Chicago, Illinois.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Forward Looking Statements and Certain Risk Factors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You should carefully review all of the information contained in this Quarterly Report, and should particularly consider any risk factors that we set forth in our Annual Report on Form 10-K for the year ended December 31, 2025, this Quarterly Report and in other reports or documents that we file from time to time with the Securities and Exchange Commission (the “SEC”). In this Quarterly Report, we state our beliefs of future events and of our future financial performance. This Quarterly Report contains “forward-looking statements” that reflect our current estimates, expectations and projections about our future results, performance, prospects and opportunities. Words such as “may,” “will,” “should,” “could,” “would,” “predicts,” “potential,” “continue,” “expects,” “anticipates,” “future,” “intends,” “plans,” “believes,” “estimates,” “appears,” “projects” and similar expressions, or the negative of those words and expressions, as well as statements in future tense, identify forward-looking statements. You should be aware that those statements are only our predictions. Actual events or results may differ materially. In evaluating those statements, you should specifically consider various factors, including the risks described elsewhere herein and in our Annual Report on Form 10-K for the year ended December 31, 2025 in </w:t>
      </w:r>
      <w:r>
        <w:rPr>
          <w:rFonts w:ascii="Times New Roman" w:hAnsi="Times New Roman"/>
          <w:i/>
          <w:color w:val="000000"/>
          <w:sz w:val="20"/>
        </w:rPr>
        <w:t xml:space="preserve">Item 1A Risk Factors </w:t>
      </w:r>
      <w:r>
        <w:rPr>
          <w:rFonts w:ascii="Times New Roman" w:hAnsi="Times New Roman"/>
          <w:color w:val="000000"/>
          <w:sz w:val="20"/>
        </w:rPr>
        <w:t xml:space="preserve">and in </w:t>
      </w:r>
      <w:r>
        <w:rPr>
          <w:rFonts w:ascii="Times New Roman" w:hAnsi="Times New Roman"/>
          <w:i/>
          <w:color w:val="000000"/>
          <w:sz w:val="20"/>
        </w:rPr>
        <w:t>Item 7. Management’s Discussion and Analysis of Financial Condition and Results of Operations—Forward Looking Statements and Risk Factors</w:t>
      </w:r>
      <w:r>
        <w:rPr>
          <w:rFonts w:ascii="Times New Roman" w:hAnsi="Times New Roman"/>
          <w:color w:val="000000"/>
          <w:sz w:val="20"/>
        </w:rPr>
        <w:t xml:space="preserve"> and in </w:t>
      </w:r>
      <w:r>
        <w:rPr>
          <w:rFonts w:ascii="Times New Roman" w:hAnsi="Times New Roman"/>
          <w:i/>
          <w:color w:val="000000"/>
          <w:sz w:val="20"/>
        </w:rPr>
        <w:t>Item 2. Management’s Discussion and Analysis of Financial Condition and Results of Operations—Forward Looking Statements and Certain Risk Factors</w:t>
      </w:r>
      <w:r>
        <w:rPr>
          <w:rFonts w:ascii="Times New Roman" w:hAnsi="Times New Roman"/>
          <w:color w:val="000000"/>
          <w:sz w:val="20"/>
        </w:rPr>
        <w:t>, as included herein. Those factors may cause our actual results to differ materially from any of our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could cause actual performance or results to differ materially from those expressed in the statements. Such factors include, among other things,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substantial portion of our revenues are dependent upon one operator, UHS, which comprised approximately 40% of our consolidated revenues during each of the three and six-month periods ended June 30, 2026 and 2025. We cannot assure you that subsidiaries of UHS will renew the leases on the hospital facilities and free-standing emergency departments, upon the scheduled expirations of the existing lease terms. In addition, if subsidiaries of UHS exercise their options to purchase the respective leased hospital facilities and FEDs, and do not enter into a substitution arrangement upon expiration of the lease terms or otherwise, our future revenues and results of operations could decrease if we were unable to earn a favorable rate of return on the sale proceeds received, as compared to the rental revenue currently earned pursuant to these leases.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increase in interest rates during the past few years has significantly increased our interest expense thereby reducing our net income, cash provided by operating activities and funds from operations, as well as unfavorably impacting our ability to access the capital markets on favorable terms. The increased interest rates on our borrowings and/or the increased costs related to new construction could also affect our ability to make additional attractive investments. The effects of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rates on our borrowings, including the unfavorable impact on the terms of recent and future interest rate swap and/or cap agreements, could unfavorably impact our future rental revenue and expenses, including interest expense, and may potentially have a material unfavorable impact on our future net income, cash provided by operating activities, funds from operations, lease renewal terms, the underlying value of our properties, our ability to grow our portfolio, and the value of our common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Legislation adopted on July 4, 2025 (the One Big Beautiful Bill Act), attaches work and community service requirements to eligibility for Medicaid benefits that will have the effect of limiting Medicaid enrollment and expenditure. That legislation also places limits on provider fees used to increase federal Medicaid funding to states. The legislation prohibits states not previously having expanded Medicaid eligibility to 138% of federal poverty level from increasing the rate of current provider fees which fund certain state supplemental payments or increasing the base of the fee to a class or items of services that the fee did not previously cover. That current provider fee threshold will remain at 6%. For states having expanded Medicaid eligibility under the legislation, the provider fee threshold will be reduced by 0.5% annually between federal fiscal years 2028 and 2032 with the resulting threshold ultimately becoming 3.5%. The legislation also eliminated certain insurance exchange premium tax credits beyond 2025 and exchange enrollment has already been adversely impacted. On January 8, 2026, the U.S. House of Representatives passed H.R.1834 to extend for three years the enhanced premium tax credits ("EPTCs") that expired on December 31, 2025. As of early August 2026, no legislation extending the EPTCs has been enacted, and there can be no assurance regarding the timing or outcome of future legislative action. All of these factors may be expected to reduce the revenues of the operators of our properties and likely increase the level of uncompensated care provided by the operators of our hospital facilities, including UHS. As a result, our results of operations may be unfavorably impacted.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past few years, our tenants have experienced inflationary pressures, primarily in personnel and certain other costs. In addition, certain of our tenants have experienced staffing shortages that has, at various times, required the hiring of expensive temporary personnel and/or enhanced wages and benefits to recruit and retain nurses and other clinical staff and support personnel. The impact of inflation and/or staffing shortages, which had a material unfavorable impact on the operating results of certain of our tenants in the past, have moderated to a certain degree more recently. However, the extent of any future impacts from inflation on our tenants’ businesses and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expenses of our tenants, and our direct operating expenses that are not passed on to our tenants, could increase faster than anticipated and may require utilization of our and our tenants’ capital resources sooner than expected. Further, given the complexities of the reimbursement landscape in which our tenants operate, their payers may be unwilling or unable to increase reimbursement rates to compensate for inflationary impacts. This may impact their ability and willingness to make rental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certain of our markets, the general real estate market has been unfavorably impacted by increased competition/capacity and decreases in occupancy and rental rates which may adversely impact our operating results and the underlying value of our properties.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subsidiary of UHS is our Advisor and our officers are all employees of a wholly-owned subsidiary of UHS, which may create the potential for conflicts of interest.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unfavorable tax consequences and reduced income resulting from an inability to complete, within the statutory timeframes, anticipated tax deferred like-kind exchange transactions pursuant to Section 1031 of the Internal Revenue Code, if, and as, applicable from time-to-time.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unfavorable impact on our business of a deterioration in national, regional and local economic and business conditions, including a worsening of credit and/or capital market conditions, which may adversely affect our ability to obtain capital which may be required to fund the future growth of our business and refinance existing debt with near term maturities.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deterioration in general economic conditions which may result in increases in the number of people unemployed and/or insured and likely increase the number of individuals without health insurance. Under these circumstances, the operators of our facilities may experience declines in patient volumes which could result in decreased occupancy rates at our medical office buildings.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worsening of the economic and employment conditions in the United States would likely materially affect the business of our operators, including UHS, which would likely unfavorably impact our future bonus rental revenue (on one UHS hospital facility) and may potentially have a negative impact on the future lease renewal terms and the underlying value of the hospital properties.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a heightened risk of future cybersecurity threats, including ransomware attacks targeting healthcare providers. If successful, future cyberattacks could have a material adverse effect on our business. Any costs that we, or our third-party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managers, incur as a result of a data security incident or breach, including costs to update security protocols to mitigate such an incident or breach, could be significant. Any breach or failure in our, our third-party property managers', our tenants’, or our or their respective third-party service providers’ operational security systems,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or their reputation and business, and other liability or losses. We may also incur additional costs related to cybersecurity risk management and remediation. There can be no assurance that we, our third-party property managers, our tenants or our or their service providers, if applicable, will not suffer losses relating to cyber-attacks or other information security breaches in the future or that insurance coverage (if applicable) will be adequate to cover all the costs resulting from such events.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and effects of known and unknown litigation, government investigations, and liabilities and other claims asserted against us, UHS or the other operators of our facilities. From time to time, UHS and its subsidiaries are subject to legal actions, purported shareholder class actions, shareholder derivative cases, governmental investigations and regulatory actions and the effects of adverse publicity relating to such matters. Since UHS comprised approximately 40% of our consolidated revenues during each of the three and six-month period ended June 30, 2026, and since a subsidiary of UHS is our Advisor, you are encouraged to obtain and review the disclosures contained in the Legal Proceedings section of Universal Health Services, Inc.’s Forms 10-Q and 10-K, as publicly filed with the Securities and Exchange Commission. Those filings are the sole responsibility of UHS and are not incorporated by reference herein.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UHS or the other operators of our hospital facilities to comply with governmental regulations related to the Medicare and Medicaid licensing and certification requirements could have a material adverse impact on our future revenues and the underlying value of the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Real estate market factors, including without limitation, the supply and demand of office space and market rental rates, changes in interest rates as well as an increase in the development of medical office condominiums in certain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property values and results of operations of severe weather conditions, including the effects of hurricanes.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Government regulations, including changes in the reimbursement levels under the Medicare and Medicaid programs. Recent focus has been paid to making significant reductions to federal expenditures, including specific reductions to Medicaid program funds and potential reduction of Medicare funding as well. Any reduction to the overall funding levels for the Medicare and Medicaid programs may negatively impact our tenants’ ability and willingness to make rental payments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has recently enacted and proposed to enact significant new tariffs, which could adversely impact our tenants’ business, financial condition and results of operations as a result of the increased costs on our and their operations and supply chains due to tariffs.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issues facing the health care industry that affect the operators of our facilities, including UHS, such as: changes in, or the ability to comply with, existing laws and government regulations; unfavorable changes in the levels and terms of reimbursement by third party payers or government programs, including Medicare (including, but not limited to, the potential unfavorable impact of future reductions to Medicare reimbursements resulting from the Budget Control Act of 2011, as discussed in the next bullet point below) and Medicaid (most states have reported significant budget deficits that have, in the past, resulted in the reduction of Medicaid funding to the operators of our facilities, including UHS); demographic changes; the ability to enter into managed care provider agreements on acceptable terms; an increase in uninsured and self-pay patients which unfavorably impacts the collectability of patient accounts; decreasing in-patient admission trends; technological and pharmaceutical improvements that may increase the cost of providing, or reduce the demand for, health care, and; the ability to attract and retain qualified medical personnel, including physicians.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Budget Control Act of 2011 imposed annual spending limits for most federal agencies and programs aimed at reducing budget deficits including Medicare payment reductions of up to 2% per fiscal year. Current legislation extended those cuts through 2032. We cannot predict whether Congress will restructure the implemented Medicare payment reductions or what other federal budget deficit reduction initiatives may be proposed by Congress going forward. We also cannot predict the effect these enactments will have on the operators of our properties (including UHS), and thus,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additional legislative changes that are likely to result in major changes in the health care delivery system on a national or state level, including changes in the structure and administration of, and funding for, federal and state agencies and programs. For example, Congress has reduced to $0 the penalty for failing to maintain health coverage that was part of the original Patient Protection and Affordable Care Act, as amended by the Health and Education Reconciliation Act (collectively, the “ACA") as part of the Tax Cuts and Jobs Act. The Biden administration had issued executive orders implementing a special enrollment period permitting individuals to enroll in health plans outside of the annual open enrollment period and reexamining policies that may undermine the ACA or the Medicaid program. The Inflation Reduction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Act of 2022 (“IRA”) was passed on August 16, 2022, which among other things, allows for the Centers for Medicare and Medicaid Services to negotiate prices for certain single-source drugs reimbursed under Medicare Part B and Part D. The American Rescue Plan Act’s expansion of subsidies to purchase coverage through an ACA exchange, which the IRA continued through 2025, had increased insurance exchange enrollment. These enhanced subsidies expired on December 31, 2025.</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There have been numerous political and legal efforts to expand, repeal, replace or modify the ACA since its enactment, some of which have been successful, in part, in modifying the ACA, as well as court challenges to the constitutionality of the ACA. The U.S. Supreme Court held in </w:t>
      </w:r>
      <w:r>
        <w:rPr>
          <w:rFonts w:ascii="Times New Roman" w:hAnsi="Times New Roman"/>
          <w:i/>
          <w:color w:val="000000"/>
          <w:sz w:val="20"/>
        </w:rPr>
        <w:t>California v. Texas</w:t>
      </w:r>
      <w:r>
        <w:rPr>
          <w:color w:val="000000"/>
        </w:rPr>
        <w:t xml:space="preserve"> </w:t>
      </w:r>
      <w:r>
        <w:rPr>
          <w:rFonts w:ascii="Times New Roman" w:hAnsi="Times New Roman"/>
          <w:color w:val="000000"/>
          <w:sz w:val="20"/>
        </w:rPr>
        <w:t xml:space="preserve">that the plaintiffs lacked standing to challenge the ACA’s requirement to obtain minimum essential health insurance coverage, or the individual mandate. The Court dismissed the case without specifically ruling on the constitutionality of the ACA. The ACA faced its most recent challenge when the Supreme Court, in the June 2025 </w:t>
      </w:r>
      <w:r>
        <w:rPr>
          <w:rFonts w:ascii="Times New Roman" w:hAnsi="Times New Roman"/>
          <w:i/>
          <w:color w:val="000000"/>
          <w:sz w:val="20"/>
        </w:rPr>
        <w:t>Kennedy v.</w:t>
      </w:r>
      <w:r>
        <w:rPr>
          <w:color w:val="000000"/>
        </w:rPr>
        <w:t xml:space="preserve"> </w:t>
      </w:r>
      <w:r>
        <w:rPr>
          <w:rFonts w:ascii="Times New Roman" w:hAnsi="Times New Roman"/>
          <w:i/>
          <w:color w:val="000000"/>
          <w:sz w:val="20"/>
        </w:rPr>
        <w:t xml:space="preserve">Braidwood Management </w:t>
      </w:r>
      <w:r>
        <w:rPr>
          <w:rFonts w:ascii="Times New Roman" w:hAnsi="Times New Roman"/>
          <w:color w:val="000000"/>
          <w:sz w:val="20"/>
        </w:rPr>
        <w:t xml:space="preserve">decision, opined in favor of ACA HIV preventive care coverage. The impacts of this decision cannot be predicted. Any future efforts to challenge, replace or replace the ACA or expand or substantially amend its provision is unknown.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if any of the announced or proposed changes described above are implemented there will not be negative financial impact on the operators of our hospitals, which material effects may include a potential decrease in the market for health care services or a decrease in the ability of the operators of our hospitals to receive reimbursement for health care services provided which could result in a material adverse effect on the financial condition or results of operations of the operators of our properties, and, thus,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early August 2026, Congress has enacted appropriations legislation funding most federal agencies for fiscal year 2026, following a lapse in appropriations affecting certain Department of Homeland Security operations that began on February 14, 2026 and was resolved on April 30, 2026. Federal budget delays and federal government shutdowns are unpredictable and may occur in the future. We cannot predict whether or not there will be future appropriations legislation avoiding a federal government shutdown, however, the operating results and results of operations of certain of our tenants, and therefore potentially ours, could be materially unfavorably impacted by the federal government shutdown.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for properties include, but are not limited to, other REITs, private investors and firms, banks and other companies, including UHS. In addition, we may face competition from other REITs for our tenants.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operators of our facilities face competition from other health care providers, including physician owned facilities and other competing facilities, including certain facilities operated by UHS but the real property of which is not owned by us. Such competition is experienced in markets including, but not limited to, McAllen, Texas, the site of our McAllen Medical Center, a 370-bed acute care hospital.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or inadvertent violations of, tax laws and regulations and other factors that can affect REITs and our status as a REIT, including possible future changes to federal tax laws that could materially impact our ability to defer gains on divestitures through like-kind property exchanges.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Should we be unable to comply with the strict income distribution requirements applicable to REITs, utilizing only cash generated by operating activities, we would be required to generate cash from other sources which could adversely affect our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hold non-controlling equity interests in four LLCs/LPs, pursuant to the operating and/or partnership agreements of which the third-party member and the Trust, at any time, potentially subject to certain conditions, have the right to make an offer (“Offering Member”) to the other member(s) (“Non-Offering Member”) in which it either agrees to: (i) sell the entire ownership interest of the Offering Member to the Non-Offering Member at a price as determined by the Offering Member (“Transfer Price”), or; (ii) purchase the entire ownership interest of the Non-Offering Member at the equivalent proportionate Transfer Price. The Non-Offering Member has 60 to 90 days to either: (i) purchase the entire ownership interest of the Offering Member at the Transfer Price, or; (ii) sell its entire ownership interest to the Offering Member at the equivalent proportionate Transfer Price. The closing of the transfer must occur within 60 to 90 days of the acceptance by the Non-Offering Member.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value of our common stock, which, among other things could be affected by changes in the interest rate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referenced herein or in our other filings with the Securities and Exchange Commission.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these uncertainties, risks and assumptions, you are cautioned not to place undue reliance on such forward-looking statements. Our actual results and financial condition, including the operating results of our lessees and the facilities leased to subsidiaries of UHS, could differ materially from those expressed in, or implied by, the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significant changes to our critical accounting policies or estimates from those disclosed in our 2025 Annual Report on Form 10-K.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three-month period ended June 30, 2026, net income was $5.9 million, as compared to $4.5 million during the second quarter of 2025. The $1.4 million increase was attributable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gain on sale of land of $724,000;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net aggregate increase of $422,000 resulting from increased income generated at various properties,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increase of $269,000 resulting from a decrease in interest expense due primarily to a decrease in our average effective borrowing rate (which gives effect to various interest rate swap agreements), partially offset by an increase in our average borrowings outstanding pursuant to our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six-month period ended June 30, 2026, net income was $10.9 million, as compared to $9.3 million during the corresponding six-month period of 2025. The $1.6 million increase was attributable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gain on sale of land of $724,000;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increase of $486,000 resulting from a decrease in interest expense due primarily to a decrease in our average effective borrowing rate,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net aggregate increase of $447,000 resulting from increased income generated at various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Revenues increased $123,000, or 4.9%, to $25.0 million during the three-month periods ended June 30, 2026, as compared to $24.9 million during the three-month periods ended June 30, 2025. Revenues increased $104,000, or 2.1%, to $49.5 million during the six-month period ended June 30, 2026, as compared to $49.4 million during the six-month period ended June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operating expenses, which amounted to $7.3 million and $7.6 million during the three-month periods ended June 30, 2026 and 2025, respectively, $14.5 million and $14.9 million during the six-month periods ended June 30, 2026 and 2025, respectively, include expenses related to our properties as well as general and administrative expenses. Operating expenses incurred in connection with our properties amounted to $6.4 million and $6.7 million during the three-month periods ended June 30, 2026 and 2025, respectively, $12.7 million and $13.1 million during the six-month periods ended June 30, 2026 and 2025, respectively. A large portion of the property-related expenses are incurred in connection with our MOBs which are allocated to the tenants either directly as tenant reimbursements of common area maintenance expenses or included in base rental amounts. Tenant reimbursements for operating expenses are accrued as revenue in the same period during which the related expenses are incurred and are included as lease revenue in our condensed consolidated statements of income.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Funds from operations (“FFO”) is a widely recognized measure of performance for Real Estate Investment Trusts (“REITs”). We believe that FFO and FFO per diluted share, which are non-GAAP financial measures, are helpful to our investors as measures of our operating performance. We compute FFO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we interpret the definition. FFO adjusts for the effects of certain items, such as gains on transactions that occurred during the periods presented. To the extent a REIT recognizes a gain or loss with respect to the sale of incidental assets, the REIT has the option to exclude or include such gains and losses in the calculation of FFO. We have opted to exclude gains and losses from sales of incidental assets in our calculation of FFO, if and when applicable. FFO does not represent cash generated from operating activities in accordance with GAAP and should not be considered an alternative to net income determined in accordance with GAAP. In addition, FFO should not be used as: (i) an indication of our financial performance determined in accordance with GAAP; (ii) an alternative to cash flow from operating activities determined in accordance with GAAP; (iii) a measure of our liquidity, or; (iv) an indicator of funds available for our cash needs, including our ability to make cash distributions to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 reconciliation of our reported net income to FFO for the three and six-month periods ended June 30, 2026 and 2025 (in thousands):</w:t>
      </w:r>
    </w:p>
    <w:tbl>
      <w:tblPr>
        <w:tblW w:w="9662" w:type="dxa"/>
        <w:jc w:val="left"/>
        <w:tblInd w:w="0" w:type="dxa"/>
        <w:tblLayout w:type="fixed"/>
        <w:tblCellMar>
          <w:top w:w="28" w:type="dxa"/>
          <w:left w:w="28" w:type="dxa"/>
          <w:bottom w:w="28" w:type="dxa"/>
          <w:right w:w="28" w:type="dxa"/>
        </w:tblCellMar>
      </w:tblPr>
      <w:tblGrid>
        <w:gridCol w:w="4861"/>
        <w:gridCol w:w="146"/>
        <w:gridCol w:w="211"/>
        <w:gridCol w:w="676"/>
        <w:gridCol w:w="166"/>
        <w:gridCol w:w="146"/>
        <w:gridCol w:w="211"/>
        <w:gridCol w:w="676"/>
        <w:gridCol w:w="146"/>
        <w:gridCol w:w="146"/>
        <w:gridCol w:w="211"/>
        <w:gridCol w:w="676"/>
        <w:gridCol w:w="166"/>
        <w:gridCol w:w="146"/>
        <w:gridCol w:w="211"/>
        <w:gridCol w:w="676"/>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 on consolidated</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 on unconsolidated</w:t>
              <w:br/>
              <w:t>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Funds From Operations per diluted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FFO increased by $714,000 to $12.5 million during the second quarter of 2026, as compared to $11.8 million during the second quarter of 2025. The increase was primarily due to the above-mentioned increase in our net income during the second quarter of 2026, as compared to the second quarter of 2025, excluding the $724,000 gain on sale of land recorded during the second quarter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FFO increased $1.1 million to $24.8 million during the first six months of 2026, as compared to $23.7 million during the first six months of 2025. The increase was primarily due to the above-mentioned increase in our net income during the first six months of 2026, as compared to the comparable period of 2025 (excluding the $724,000 gain on sale of land recorded during the second quarter of 2026), as well as an increase in depreciation and amortization expense.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Other Operating Results</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reflected in the schedule below, interest expense was $4.4 million and $4.7 million during the three-month periods ended June 30, 2026 and 2025, respectively and $8.9 million and $9.4 million during the six-month periods ended June 30, 2026 and 2025, respectively (amounts in thousands):</w:t>
      </w:r>
    </w:p>
    <w:tbl>
      <w:tblPr>
        <w:tblW w:w="10205" w:type="dxa"/>
        <w:jc w:val="left"/>
        <w:tblInd w:w="0" w:type="dxa"/>
        <w:tblLayout w:type="fixed"/>
        <w:tblCellMar>
          <w:top w:w="28" w:type="dxa"/>
          <w:left w:w="28" w:type="dxa"/>
          <w:bottom w:w="28" w:type="dxa"/>
          <w:right w:w="28" w:type="dxa"/>
        </w:tblCellMar>
      </w:tblPr>
      <w:tblGrid>
        <w:gridCol w:w="2589"/>
        <w:gridCol w:w="146"/>
        <w:gridCol w:w="541"/>
        <w:gridCol w:w="1465"/>
        <w:gridCol w:w="166"/>
        <w:gridCol w:w="146"/>
        <w:gridCol w:w="541"/>
        <w:gridCol w:w="1465"/>
        <w:gridCol w:w="166"/>
        <w:gridCol w:w="146"/>
        <w:gridCol w:w="287"/>
        <w:gridCol w:w="862"/>
        <w:gridCol w:w="166"/>
        <w:gridCol w:w="146"/>
        <w:gridCol w:w="275"/>
        <w:gridCol w:w="882"/>
        <w:gridCol w:w="216"/>
      </w:tblGrid>
      <w:tr>
        <w:trPr/>
        <w:tc>
          <w:tcPr>
            <w:tcW w:w="2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b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income,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(a) Includes: (i) a $55 million interest rate swap with a fixed interest rate of 0.5050% that is scheduled to mature in March, 2027; (ii) a $25 million interest rate swap with a fixed interest rate of 3.9495% that is scheduled to mature in December, 2027, and; (iii) an $85 million interest rate swap with a fixed interest rate of 3.2725% that is scheduled to mature in September, 2028. During the three and six-month periods ended June 30, 2026 and 2025, net interest was paid to us from the counterparties pursuant to the interest rate swaps that were active during each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decreased by $269,000 during the three-month period ended June 30, 2026, as compared to the comparable period of 2025, due primarily to: (i) a $498,000 decrease in the interest expense pursuant to our credit agreement resulting primarily from a decrease in our average effective cost of borrowings (to 5.197% during the second quarter of 2026 as compared to 5.933% during the comparable quarter of 2025), partially offset by an increase in our average outstanding borrowings (to $355.8 million during the second quarter of 2026 as compared to $345.3 million during the comparable quarter of 2025); (ii) a $282,000 increase due to a net decrease in interest rate swap income pursuant to our various interest rate swap agreements, as discussed in (a) above, and; (iii) a $53,000 other combined net decrease.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decreased by $486,000 during the six-month period ended June 30, 2026, as compared to the comparable period of 2025, due primarily to: (i) a $941,000 decrease in the interest expense pursuant to our credit agreement resulting primarily from a decrease in our average effective cost of borrowings (to 5.238% during the first six months of 2026 as compared to 5.934% during the comparable period of 2025), partially offset by an increase in our average outstanding borrowings (to $354.6 million during the first six months of 2026 as compared to $344.9 million during the comparable period of 2025); (ii) a $547,000 increase due to a net decrease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rate swap income due to the interest rate swap agreement transitions, as discussed in (a) above, and; (iii) a $90,000 other combined net decrease. </w:t>
      </w:r>
    </w:p>
    <w:p>
      <w:pPr>
        <w:pStyle w:val="TextBody"/>
        <w:bidi w:val="0"/>
        <w:spacing w:before="120" w:after="283"/>
        <w:jc w:val="both"/>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Net cash provided by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operating activities was $24.4 million during the six-month period ended June 30, 2026 as compared to $25.3 million during the comparable period of 2025. The $941,000 net decrease was attributable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unfavorable change of $3.1 million in accrued expenses and other liabilities, due primarily to the timing of related disbursements;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favorable change of $1.1 million due to an increase in net income plus/minus the adjustments to reconcile net income to net cash provided by operating activities (depreciation and amortization, amortization related to above/below market leases, amortization of deferred financing costs, stock-based compensation expense and gain on sale of land);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favorable change of $315,000 in lease receivables;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favorable change of $307,000 in leasing costs paid;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unfavorable change of $245,000 in accrued interest;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favorable change of $199,000 in tenant reserves, deposits, and prepaid rents,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combined net favorable changes of $515,000.</w:t>
      </w:r>
    </w:p>
    <w:p>
      <w:pPr>
        <w:pStyle w:val="TextBody"/>
        <w:bidi w:val="0"/>
        <w:spacing w:before="240" w:after="283"/>
        <w:jc w:val="both"/>
        <w:rPr>
          <w:rFonts w:ascii="Times New Roman" w:hAnsi="Times New Roman"/>
          <w:sz w:val="20"/>
        </w:rPr>
      </w:pPr>
      <w:r>
        <w:rPr>
          <w:rFonts w:ascii="Times New Roman" w:hAnsi="Times New Roman"/>
          <w:b/>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was $12.3 million during the first six months of 2026 as compared to $10.7 million during the first six months of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six-month period ended June 30, 2026, we funded: (i) $13.1 million in additions to real estate investments, including tenant improvements at various MOBs and the construction costs related to the Miller Medical Plaza in Palm Beach Gardens, FL, and; (ii) $191,000 in equity investments in unconsolidated LLCs. In addition, during the six months ended June 30, 2026, we received: (i) $746,000 in net cash proceeds from the sale of land, and; (ii) $273,000 of cash in excess of income from LLCs.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six-month period ended June 30, 2025, we funded: (i) $6.8 million in equity investments in unconsolidated LLCs (consisting primarily of our $6.5 million pro rata share of a $6.8 million third-party construction loan that was fully repaid in May, 2025); (ii) $3.7 million in additions to real estate investments, including tenant improvements at various MOBs, and; (iii) a $335,000 net advance made to a third-party partner of an unconsolidated LLC that was be repaid to us, with interest, during the fourth quarter of 2025. In addition, during the six months ended June 30, 2025, we received $167,000 of cash in excess of income from LLCs.</w:t>
      </w:r>
    </w:p>
    <w:p>
      <w:pPr>
        <w:pStyle w:val="TextBody"/>
        <w:bidi w:val="0"/>
        <w:spacing w:before="240" w:after="283"/>
        <w:jc w:val="both"/>
        <w:rPr>
          <w:rFonts w:ascii="Times New Roman" w:hAnsi="Times New Roman"/>
          <w:sz w:val="20"/>
        </w:rPr>
      </w:pPr>
      <w:r>
        <w:rPr>
          <w:rFonts w:ascii="Times New Roman" w:hAnsi="Times New Roman"/>
          <w:b/>
          <w:color w:val="000000"/>
          <w:sz w:val="20"/>
        </w:rPr>
        <w:t>Net cash used in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financing activities was $11.9 million during the six months ended June 30, 2026, as compared to $15.2 million during the six months ended June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six-month period ended June 30, 2026, we paid: (i) $20.8 million of dividends; (ii) $297,000 on mortgage notes payable that are non-recourse to us, and; (iii) $172,000 of financing costs related to our Credit Agreement. Additionally, during the six months ended June 30, 2026, we received: (i) $9.4 million of net borrowings pursuant to our Credit Agreement, and; (ii) $19,000 of net cash from the issuance of shares of beneficial interest.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six-month period ended June 30, 2025, we paid: (i) $649,000 on mortgage notes payable that are non-recourse to us, and; (ii) $20.5 million of dividends, including $100,000 of previously accrued dividends. Additionally, during the six months ended June 30, 2025, we received: (i) $5.9 million of net borrowings pursuant to our Credit Agreement, and; (ii) $75,000 of net cash from the issuance of shares of beneficial interest.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Equity Issuance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second quarter of 2024, we filed a shelf registration statement on Form S-3 (File No. 333-278730) (the "Form S-3"), registering the offer and sale, from time-to-time, of an indeterminate amount of the common shares of beneficial interest, preferred shares and debt securities up to an aggregate initial offering price of $100 million to or through one or more underwriters, dealers or agents, or directly to purchasers. The Form S-3 became effective on April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shares were issued under the Form S-3 since the effective date of April 30, 2024 through June 30, 2026. As of June 30, 2026, we have paid or incurred approximately $291,000 in various fees and expenses related to the Form S-3. The availability of the potential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liquidity under this shelf registration statement depends on investor demand, market conditions and other factors. We make no assurance regarding when, or if, we will issue any securities under this registration statement. </w:t>
      </w:r>
    </w:p>
    <w:p>
      <w:pPr>
        <w:pStyle w:val="TextBody"/>
        <w:bidi w:val="0"/>
        <w:spacing w:before="240" w:after="283"/>
        <w:jc w:val="both"/>
        <w:rPr>
          <w:rFonts w:ascii="Times New Roman" w:hAnsi="Times New Roman"/>
          <w:sz w:val="20"/>
        </w:rPr>
      </w:pPr>
      <w:r>
        <w:rPr>
          <w:rFonts w:ascii="Times New Roman" w:hAnsi="Times New Roman"/>
          <w:b/>
          <w:color w:val="000000"/>
          <w:sz w:val="20"/>
        </w:rPr>
        <w:t>Additional cash flow and dividends paid information for the six-month periods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indicated on our condensed consolidated statement of cash flows, we generated net cash provided by operating activities of $24.4 million and $25.3 million during the six-month periods ended June 30, 2026 and 2025, respectively. As also indicated on our statement of cash flows, non-cash expenses including depreciation and amortization expense, amortization related to above/below market leases, amortization of deferred financing costs and stock-based compensation expense, gain on the sale of land, as well as changes in certain assets and liabilities, are the primary differences between our net income and net cash provided by operating activities during each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declared and paid dividends of $20.8 million and $20.5 million during the six-month periods ended June 30, 2026 and 2025, respectively. During the first six months of 2026, the $24.4 million of net cash provided by operating activities was approximately $3.5 million greater than the $20.8 million of dividends paid. During the first six months of 2025, the $25.3 million of net cash provided by operating activities was approximately $4.8 million greater than the $20.5 million of dividends paid.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indicated in the cash flows from investing activities and cash flows from financing activities sections of the statements of cash flows, there were various other sources and uses of cash during the six months ended June 30, 2026 and 2025. From time to time, various other sources and uses of cash may include items such as investments and advances made to/from LLCs, additions to real estate investments, acquisitions/divestiture of properties, net borrowings/repayments of debt, and proceeds generated from the issuance of equity. Therefore, in any given period, the funding source for our dividend payments is not wholly dependent on the operating cash flow generated by our properties. Rather, our dividends as well as our capital reinvestments into our existing properties, acquisitions of real property and other investments are funded based upon the aggregate net cash inflows or outflows from all sources and uses of cash from the properties we own either in whole or through LLCs, as outlined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determining and monitoring our dividend level on a quarterly basis, our management and Board of Trustees consider many factors in determining the amount of dividends to be paid each period. These considerations primarily include: (i) the minimum required amount of dividends to be paid in order to maintain our REIT status; (ii) the current and projected operating results of our properties, including those owned in LLCs, and; (iii) our future capital commitments and debt repayments, including those of our LLCs. Based upon the information discussed above, as well as consideration of projections and forecasts of our future operating cash flows, management and the Board of Trustees have determined that our operating cash flows have been sufficient to fund our dividend payments. Future dividend levels will be determined based upon the factors outlined above with consideration given to our projected future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finance all capital expenditures and acquisitions and pay dividends utilizing internally generated and additional funds. Additional funds may be obtained through: (i) borrowings under our Credit Agreement (the borrowings capacity of which was increased to $475 million in April, 2026 (from $425 million previously), and which had $365.6 million of outstanding borrowings as of June 30, 2026); (ii) borrowings under or refinancing of existing third-party debt pursuant to mortgage loan agreements entered into by our consolidated and unconsolidated LLCs/LPs; (iii) the issuance of other long-term debt, and/or; (iv) the issuance of equity. In April, 2024 we filed a shelf registration statement on Form S-3 with the Securities and Exchange Commission pursuant to which we may offer up to $100 million of securities pursuant to supplemental prospectuses which we may file from time to time.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operating cash flows, cash and cash equivalents, available borrowing capacity under our Credit Agreement and access to the capital markets provide us with sufficient capital resources to fund our operating, investing and financing requirements for the next twelve months, including providing sufficient capital to allow us to make distributions necessary to enable us to continue to qualify as a REIT under Sections 856 to 860 of the Internal Revenue Code of 1986.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 </w:t>
      </w:r>
    </w:p>
    <w:p>
      <w:pPr>
        <w:pStyle w:val="TextBody"/>
        <w:bidi w:val="0"/>
        <w:spacing w:before="240" w:after="283"/>
        <w:jc w:val="both"/>
        <w:rPr>
          <w:rFonts w:ascii="Times New Roman" w:hAnsi="Times New Roman"/>
          <w:sz w:val="20"/>
        </w:rPr>
      </w:pPr>
      <w:r>
        <w:rPr>
          <w:rFonts w:ascii="Times New Roman" w:hAnsi="Times New Roman"/>
          <w:b/>
          <w:color w:val="000000"/>
          <w:sz w:val="20"/>
        </w:rPr>
        <w:t>Credit facilities and mortgage debt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Management routinely monitors and analyzes the Trust’s capital structure in an effort to maintain the targeted balance among capital resources including the level of borrowings pursuant to our revolving credit facility, the level of borrowings pursuant to non-recourse mortgage debt secured by the real property of our properties and our level of equity including consideration of equity issuances. This ongoing analysis considers factors such as the current debt market and interest rate environment, the current/projected occupancy and financial performance of our properties, the current loan-to-value ratio of our properties, the Trust’s current stock price, the capital resources required for anticipated acquisitions and the expected capital to be generated by anticipated divestitures. This analysis, together with consideration of the Trust’s current borrowings outstanding under the credit agreement, non-recourse mortgage borrowings and equity, assists management in deciding which capital resource to utilize when events such as refinancing of specific debt components occur or additional funds are required to finance the Trust’s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April 21, 2026, we entered into the First Amendment ("First Amendment") to the Second Amended and Restated Credit Agreement, among the Trust as borrower, the lenders party thereto and Wells Fargo Bank, N.A., as administrative agent ("Credit Agreement"). Pursuant to the terms of the First Amendment, among other things, the borrowing capacity was increased to $475 million (from $425 million previously) and the minimum tangible net worth requirement was changed to $100 million (from $125 million previously). The maturity date, which was unchanged, is September 30, 2028, and we have the option to extend the maturity date for two additional six-month periods.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Credit Agreement, as amended by the First Amendment, is comprised of $175 million of non-amortizing term loans and a $300 million revolving loan commitment which includes a $40 million sublimit for letters of credit, and a $30 million sublimit for swingline/short-term loans. Under the terms of the Credit Agreement, we may request that the revolving line of credit and/or the Term Loan be increased by up to an additional aggregate amount of $50 million. Borrowings under the Credit Agreement are guaranteed by certain subsidiaries of the Trust. In addition, borrowings are secured by first priority security interests in and liens on all equity interests in most of the Trust’s wholly-owned subsidiaries. </w:t>
      </w:r>
    </w:p>
    <w:p>
      <w:pPr>
        <w:pStyle w:val="TextBody"/>
        <w:bidi w:val="0"/>
        <w:jc w:val="both"/>
        <w:rPr>
          <w:rFonts w:ascii="Times New Roman" w:hAnsi="Times New Roman"/>
          <w:sz w:val="20"/>
        </w:rPr>
      </w:pPr>
      <w:r>
        <w:rPr>
          <w:rFonts w:ascii="Times New Roman" w:hAnsi="Times New Roman"/>
          <w:color w:val="000000"/>
          <w:sz w:val="20"/>
        </w:rPr>
        <w:t>Borrowings under the Credit Agreement will bear interest at a rate equal to, at our option, term SOFR for either one, three, or six months or the Base Rate, plus in either case, a specified margin depending on our total leverage ratio, as determined by the formula set forth in the Credit Agreement. The applicable margin on revolving loans range from 1.10% to 1.35% for Adjusted Term SOFR loans and 0.10% to 0.35% for Base Rate loans. T</w:t>
      </w:r>
      <w:r>
        <w:rPr>
          <w:rFonts w:ascii="Times New Roman" w:hAnsi="Times New Roman"/>
          <w:color w:val="202529"/>
          <w:sz w:val="20"/>
        </w:rPr>
        <w:t>he applicable margin on term loans range from 1.20% to 1.65% for Adjusted Term SOFR loans and 0.20% to 0.65% for Base Rate loans.</w:t>
      </w:r>
      <w:r>
        <w:rPr>
          <w:rFonts w:ascii="Times New Roman" w:hAnsi="Times New Roman"/>
          <w:color w:val="000000"/>
          <w:sz w:val="20"/>
        </w:rPr>
        <w:t xml:space="preserve"> The Credit Agreement defines “Base Rate” as the greatest of (a) the Administrative Agent’s prime rate, (b) the federal funds effective rate plus 1/2 of 1%, and (c) one month Adjusted Term SOFR plus 1%. The Trust will also pay a quarterly facility fee on the $300 million revolving loan commitment ranging from 0.15% to 0.35% (depending on the Trust’s total leverage ratio).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margins over Adjusted Term SOFR, Base Rate and the facility fee are based upon our total leverage ratio. At June 30, 2026, the applicable margin over the Adjusted Term SOFR rate for revolving loans was 1.20%, the margin over the Base Rate was 0.20% and the facility fee was 0.20%. At June 30, 2025, the applicable margin over the Adjusted Term SOFR rate for term loans was 1.20%, the margin over the Base Rate was 0.20% and the facility fee was 0.20%.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we had $365.6 million of outstanding borrowings pursuant to the terms of our Credit Agreement, and $109.4 million of available borrowing capacity. At December 31, 2025 (prior to the First Amendment), we had $356.2 million of outstanding borrowings pursuant to the terms of our Credit Agreement, and $68.8 million of available borrowing capacity. There are no compensating balance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is structured to allow the Trust to select a one, three or six-month borrowing term for all borrowings on the Term Loan and revolving line of credit, which can be renewed through the commitment period that matures on September 30, 2028. In our consolidated statements of cash flows, we report cash flows pursuant to our Credit Agreement on a net basis, as all borrowings under the Credit Agreement have a term of less than three months as of June 30, 2026 and 2025. Aggregate borrowings under our Credit Agreement were $19.1 million and $19.6 million during the quarters ended June 30, 2026 and 2025, respectively, and aggregate repayments were $13.1 million and $14.3 million during the quarters ended June 30, 2026 and 2025, respectively. Aggregate borrowings under our Credit Agreement were $33.9 million and $32.6 million during the six-months ended June 30, 2026 and 2025, respectively, and aggregate repayments were $24.6 million and $26.7 million during the six-months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customary affirmative and negative covenants, including limitations on certain indebtedness, liens, acquisitions and other investments, fundamental changes, asset dispositions and dividends and other distributions. The Credit Agreement also contains restrictive covenants regarding the Trust’s ratio of total debt to total assets, the fixed charge coverage ratio, the ratio of total secured debt to total asset value, the ratio of total unsecured debt to total unencumbered asset value, and minimum tangible net worth, as well as customary events of default, the occurrence of which may trigger an acceleration of amounts then outstanding under the Credit Agreement. We were in compliance with all of the covenants in the Credit Agreement at each of June 30, 2026 and December 31, 2025. We also believe that we would remain in compliance if, based on the assumption that the majority of the potential new borrowings will be used to fund investments, the full amount of our commitment was borrowed.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includes a summary of the required compliance ratios, giving effect to the covenants contained in the Credit Agreement (dollar amounts in thousands):</w:t>
      </w:r>
    </w:p>
    <w:tbl>
      <w:tblPr>
        <w:tblW w:w="6193" w:type="dxa"/>
        <w:jc w:val="left"/>
        <w:tblInd w:w="0" w:type="dxa"/>
        <w:tblLayout w:type="fixed"/>
        <w:tblCellMar>
          <w:top w:w="28" w:type="dxa"/>
          <w:left w:w="28" w:type="dxa"/>
          <w:bottom w:w="28" w:type="dxa"/>
          <w:right w:w="28" w:type="dxa"/>
        </w:tblCellMar>
      </w:tblPr>
      <w:tblGrid>
        <w:gridCol w:w="2086"/>
        <w:gridCol w:w="146"/>
        <w:gridCol w:w="1141"/>
        <w:gridCol w:w="146"/>
        <w:gridCol w:w="211"/>
        <w:gridCol w:w="781"/>
        <w:gridCol w:w="271"/>
        <w:gridCol w:w="233"/>
        <w:gridCol w:w="862"/>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Tangible net worth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 $100,000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leverage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Unencumbered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charge coverage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&gt;=1.50x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3.5x</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3.3x</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As discussed above, in April, 2026, the minimum tangible net worth requirement was changed to $100 million pursuant to the terms of the First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indicated on the following table, we have various mortgages, all of which are non-recourse to us, included on our condensed consolidated balance sheet as of June 30, 2026 (amounts in thousands): </w:t>
      </w:r>
    </w:p>
    <w:tbl>
      <w:tblPr>
        <w:tblW w:w="9563" w:type="dxa"/>
        <w:jc w:val="left"/>
        <w:tblInd w:w="0" w:type="dxa"/>
        <w:tblLayout w:type="fixed"/>
        <w:tblCellMar>
          <w:top w:w="28" w:type="dxa"/>
          <w:left w:w="28" w:type="dxa"/>
          <w:bottom w:w="28" w:type="dxa"/>
          <w:right w:w="28" w:type="dxa"/>
        </w:tblCellMar>
      </w:tblPr>
      <w:tblGrid>
        <w:gridCol w:w="5086"/>
        <w:gridCol w:w="146"/>
        <w:gridCol w:w="338"/>
        <w:gridCol w:w="1087"/>
        <w:gridCol w:w="166"/>
        <w:gridCol w:w="146"/>
        <w:gridCol w:w="157"/>
        <w:gridCol w:w="504"/>
        <w:gridCol w:w="271"/>
        <w:gridCol w:w="146"/>
        <w:gridCol w:w="1516"/>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Facility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Outstanding</w:t>
              <w:br/>
              <w:t>Balance</w:t>
              <w:br/>
              <w:t>(in</w:t>
            </w:r>
            <w:r>
              <w:rPr>
                <w:rFonts w:ascii="Times New Roman" w:hAnsi="Times New Roman"/>
                <w:color w:val="000000"/>
                <w:sz w:val="16"/>
              </w:rPr>
              <w:t xml:space="preserve"> </w:t>
            </w:r>
            <w:r>
              <w:rPr>
                <w:rFonts w:ascii="Times New Roman" w:hAnsi="Times New Roman"/>
                <w:b/>
                <w:color w:val="000000"/>
                <w:sz w:val="16"/>
              </w:rPr>
              <w:t>thousands)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Date</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Phoenix Children’s East Valley Care Center fixed rate </w:t>
              <w:br/>
              <w:t>   mortgage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2030</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Rosenberg Children's Medical Plaza fixed rate mortgage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2033</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excluding net debt premium and net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net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mortgages notes payable, non-recourse to us,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mortgage loans require monthly principal payments through maturity and either fully amortize or include a balloon principal payment upon maturity.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a fixed rate mortgage loan on Tuscan Professional Building, with a remaining balance of $122,000 as of that date, was fully repaid upon its schedule maturity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and December 31, 2025, we had various mortgages, all of which were non-recourse to us, included in our condensed consolidated balance sheet. The mortgages are secured by the real property of the buildings as well as property leases and rents. The mortgages outstanding as of June 30, 2026, had a combined carrying value of approximately $18.3 million and a combined fair value of approximately $17.1 million. The mortgages outstanding as of December 31, 2025, had a combined carrying value of approximately $18.6 million and a combined fair value of approximately $17.5 million. The fair value of our debt was computed based upon quotes received from financial institutions. We consider these to be “level 2” in the fair value hierarchy as outlined in the authoritative guidance for disclosure in connection with debt instruments. Changes in market rates on our fixed rate debt impacts the fair value of debt, but it has no impact on interest incurred or cash flow.</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Off 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each of June 30, 2026 and December 31, 2025, we had no off balance sheet arrangements.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Acquisition and Divestiture Activity</w:t>
      </w:r>
    </w:p>
    <w:p>
      <w:pPr>
        <w:pStyle w:val="TextBody"/>
        <w:bidi w:val="0"/>
        <w:spacing w:before="120" w:after="40"/>
        <w:jc w:val="left"/>
        <w:rPr>
          <w:rFonts w:ascii="Times New Roman" w:hAnsi="Times New Roman"/>
          <w:sz w:val="20"/>
        </w:rPr>
      </w:pPr>
      <w:bookmarkStart w:id="13" w:name="mda_end"/>
      <w:bookmarkEnd w:id="13"/>
      <w:r>
        <w:rPr>
          <w:rFonts w:ascii="Times New Roman" w:hAnsi="Times New Roman"/>
          <w:color w:val="000000"/>
          <w:sz w:val="20"/>
        </w:rPr>
        <w:t xml:space="preserve">Please see </w:t>
      </w:r>
      <w:r>
        <w:rPr>
          <w:rFonts w:ascii="Times New Roman" w:hAnsi="Times New Roman"/>
          <w:i/>
          <w:color w:val="000000"/>
          <w:sz w:val="20"/>
        </w:rPr>
        <w:t>Note 4 to the condensed consolidated financial statements- Acquisitions, Divestitures and New Construction.</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u w:val="single"/>
        </w:rPr>
      </w:pPr>
      <w:bookmarkStart w:id="14" w:name="item_3_quantitative_qualitative_disclosu"/>
      <w:bookmarkEnd w:id="14"/>
      <w:r>
        <w:rPr>
          <w:rFonts w:ascii="Times New Roman" w:hAnsi="Times New Roman"/>
          <w:b/>
          <w:color w:val="000000"/>
          <w:sz w:val="20"/>
          <w:u w:val="single"/>
        </w:rPr>
        <w:t>Item 3. Quantitative and Qualitative Disclosures About Market Risk</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we entered into an interest rate swap agreement on a total notional amount of $85 million with a fixed interest rate of 3.2725% that we designated as a cash flow hedge. The interest rate swap became effective on October 2, 2024 and is scheduled to mature on September 30, 2028. If one-month term SOFR is above 3.2725%, the counterparty pays us, and if one-month term SOFR is less than 3.2725%, we pay the counterparty, the difference between the fixed rate of 3.2725% and one-month term SOFR. This interest rate swap was entered into in replacement of two interest rate swap agreements, on an aggregate total notional amount of $85 million, that expired on September 16,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we entered into an interest rate swap agreement on a total notional amount of $25 million with a fixed interest rate of 3.9495% that we designated as a cash flow hedge. The interest rate swap became effective on December 1, 2023 and is scheduled to mature on December 1, 2027. If one-month term SOFR is above 3.9495%, the counterparty pays us, and if one-month term SOFR is less than 3.9495%, we pay the counterparty, the difference between the fixed rate of 3.9495% and one-month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we entered into an interest rate swap agreement on a total notional amount of $55 million with a fixed interest rate of 0.565% that we designated as a cash flow hedge. The interest rate swap became effective on March 25, 2020 and is scheduled to mature on March 25, 2027. On May 15, 2023, this interest rate swap agreement was modified to replace the benchmark rate from LIBOR to term SOFR. If one-month term SOFR is above 0.505%, the counterparty pays us, and if one-month term SOFR is less than 0.505%, we pay the counterparty, the difference between the fixed rate of 0.505% and one-month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measure our interest rate swaps at fair value on a recurring basis. The fair value of our interest rate swaps is based on quotes from third parties. We consider those inputs to be “level 2” in the fair value hierarchy as outlined in the authoritative guidance for disclosures in connection with derivative instruments and hedging activities. At June 30, 2026, the fair value of our interest rate swaps was a net asset of $2.6 million which is included in deferred charges and other assets on the accompanying condensed consolidated balance sheet.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first six months of 2026, we received approximately $1.0 million, net, from the counterparties, adjusted for the previous quarter accrual, pursuant to the terms of the swaps (consisting of $1.0 million due to us from the counterparties, partially offset by $36,000 due to the counterparties from us). During the second quarter of 2026, we received approximately $498,000, net, from the counterparties, adjusted for the previous quarter accrual, pursuant to the terms of the swaps (consisting of $517,000 due to us from the counterparties, partially offset by $19,000 due to the counterparties from us). During the first six months of 2025, we received approximately $1.6 million from the counterparties, adjusted for the previous quarter accrual, pursuant to the terms of the swaps. During the second quarter of 2025, we received approximately $780,000 from the counterparties, adjusted for the previous quarter accrual, pursuant to the terms of the swaps. Cash flow hedges are accounted for by recording the fair value of the derivative instrument on the balance sheet as either an asset or a liability, with a corresponding amount recorded in accumulated other comprehensive income (“AOCI”) within shareholders’ equity. Amounts are reclassified from AOCI to the income statement in the period or periods the hedged transaction affects earnings. We do not expect any gains or losses on our interest rate swaps to be reclassified to earnings in the next twelve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sensitivity analysis related to our fixed and variable rate debt assumes current market rates with all other variables held constant. As of June 30, 2026, the fair value and carrying value of our debt is approximately $382.6 million and $383.8 million, respectively. As of that date, the carrying value exceeds the fair value by approximately $1.2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table below presents information regarding our financial instruments that are sensitive to changes in interest rates. For debt obligations, the amounts of which are as of June 30, 2026, the table presents principal cash flows and related weighted average interest rates by contractual maturity dates. </w:t>
      </w:r>
    </w:p>
    <w:p>
      <w:pPr>
        <w:pStyle w:val="TextBody"/>
        <w:bidi w:val="0"/>
        <w:jc w:val="both"/>
        <w:rPr/>
      </w:pPr>
      <w:r>
        <w:rPr/>
        <w:t> </w:t>
      </w:r>
    </w:p>
    <w:tbl>
      <w:tblPr>
        <w:tblW w:w="10198" w:type="dxa"/>
        <w:jc w:val="left"/>
        <w:tblInd w:w="0" w:type="dxa"/>
        <w:tblLayout w:type="fixed"/>
        <w:tblCellMar>
          <w:top w:w="28" w:type="dxa"/>
          <w:left w:w="28" w:type="dxa"/>
          <w:bottom w:w="28" w:type="dxa"/>
          <w:right w:w="28" w:type="dxa"/>
        </w:tblCellMar>
      </w:tblPr>
      <w:tblGrid>
        <w:gridCol w:w="1851"/>
        <w:gridCol w:w="146"/>
        <w:gridCol w:w="196"/>
        <w:gridCol w:w="421"/>
        <w:gridCol w:w="256"/>
        <w:gridCol w:w="146"/>
        <w:gridCol w:w="196"/>
        <w:gridCol w:w="601"/>
        <w:gridCol w:w="256"/>
        <w:gridCol w:w="146"/>
        <w:gridCol w:w="196"/>
        <w:gridCol w:w="691"/>
        <w:gridCol w:w="256"/>
        <w:gridCol w:w="146"/>
        <w:gridCol w:w="196"/>
        <w:gridCol w:w="421"/>
        <w:gridCol w:w="256"/>
        <w:gridCol w:w="146"/>
        <w:gridCol w:w="196"/>
        <w:gridCol w:w="511"/>
        <w:gridCol w:w="256"/>
        <w:gridCol w:w="146"/>
        <w:gridCol w:w="245"/>
        <w:gridCol w:w="641"/>
        <w:gridCol w:w="256"/>
        <w:gridCol w:w="146"/>
        <w:gridCol w:w="196"/>
        <w:gridCol w:w="691"/>
        <w:gridCol w:w="391"/>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Year Ending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Fixed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365,550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365,550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Notional amount(c)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non-recourse mortgage notes payable.</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Consists of $365.6 million of outstanding borrowings under the terms of our Credit Agreement which has a scheduled maturity date of September 30, 2028.</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Includes: (i) a $55 million interest rate swap with a fixed interest rate of 0.5050% that is scheduled to mature in March, 2027; (ii) a $25 million interest rate swap with a fixed interest rate of 3.9495% that is scheduled to mature in December, 2027, and; (iii) an $85 million interest rate swap with a fixed interest rate of 3.2725% that is scheduled to mature in September, 2028. </w:t>
      </w:r>
    </w:p>
    <w:p>
      <w:pPr>
        <w:pStyle w:val="TextBody"/>
        <w:bidi w:val="0"/>
        <w:spacing w:before="120" w:after="283"/>
        <w:jc w:val="both"/>
        <w:rPr>
          <w:rFonts w:ascii="Times New Roman" w:hAnsi="Times New Roman"/>
          <w:color w:val="000000"/>
          <w:sz w:val="20"/>
        </w:rPr>
      </w:pPr>
      <w:bookmarkStart w:id="15" w:name="item_3_quantitative_qualitative_disc_end"/>
      <w:bookmarkEnd w:id="15"/>
      <w:r>
        <w:rPr>
          <w:rFonts w:ascii="Times New Roman" w:hAnsi="Times New Roman"/>
          <w:color w:val="000000"/>
          <w:sz w:val="20"/>
        </w:rPr>
        <w:t xml:space="preserve">As calculated based upon our variable rate debt outstanding as of June 30, 2026 that is subject to interest rate fluctuations, and giving effect to the three interest rate swaps as reflected on the table above, each 1% change in interest rates would impact our net income by approximately $2.0 million. </w:t>
      </w:r>
    </w:p>
    <w:p>
      <w:pPr>
        <w:pStyle w:val="TextBody"/>
        <w:bidi w:val="0"/>
        <w:spacing w:before="240" w:after="283"/>
        <w:jc w:val="both"/>
        <w:rPr>
          <w:rFonts w:ascii="Times New Roman" w:hAnsi="Times New Roman"/>
          <w:sz w:val="20"/>
        </w:rPr>
      </w:pPr>
      <w:bookmarkStart w:id="16" w:name="item_4_controls_procedures"/>
      <w:bookmarkEnd w:id="16"/>
      <w:r>
        <w:rPr>
          <w:rFonts w:ascii="Times New Roman" w:hAnsi="Times New Roman"/>
          <w:b/>
          <w:color w:val="000000"/>
          <w:sz w:val="20"/>
          <w:u w:val="single"/>
        </w:rPr>
        <w:t>Item 4. Controls</w:t>
      </w:r>
      <w:r>
        <w:rPr>
          <w:rFonts w:ascii="Times New Roman" w:hAnsi="Times New Roman"/>
          <w:color w:val="000000"/>
          <w:sz w:val="20"/>
          <w:u w:val="single"/>
        </w:rPr>
        <w:t xml:space="preserve"> </w:t>
      </w:r>
      <w:r>
        <w:rPr>
          <w:rFonts w:ascii="Times New Roman" w:hAnsi="Times New Roman"/>
          <w:b/>
          <w:color w:val="000000"/>
          <w:sz w:val="20"/>
          <w:u w:val="single"/>
        </w:rPr>
        <w:t>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under the supervision and with the participation of our management, including the Trust’s Chief Executive Officer (“CEO”) and Chief Financial Officer (“CFO”), we performed an evaluation of the effectiveness of our disclosure controls and procedures as defined in Rule 13a-15(e) or Rule 15d-15(e) under the Securities Exchange Act of 1934, as amended (the “1934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1934 Act and the SEC rules thereunder.</w:t>
      </w:r>
    </w:p>
    <w:p>
      <w:pPr>
        <w:pStyle w:val="TextBody"/>
        <w:bidi w:val="0"/>
        <w:spacing w:before="240" w:after="283"/>
        <w:jc w:val="both"/>
        <w:rPr>
          <w:rFonts w:ascii="Times New Roman" w:hAnsi="Times New Roman"/>
          <w:b/>
          <w:color w:val="000000"/>
          <w:sz w:val="20"/>
          <w:u w:val="single"/>
        </w:rPr>
      </w:pPr>
      <w:bookmarkStart w:id="17" w:name="item_4_controls_procedures_end"/>
      <w:bookmarkEnd w:id="17"/>
      <w:r>
        <w:rPr>
          <w:rFonts w:ascii="Times New Roman" w:hAnsi="Times New Roman"/>
          <w:b/>
          <w:color w:val="000000"/>
          <w:sz w:val="20"/>
          <w:u w:val="single"/>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or in other factors during the second quarter of 2026 that have materially affected, or are reasonably likely to materially affect, our internal control over financial reporting.</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18" w:name="part_ii_or_information"/>
      <w:bookmarkEnd w:id="18"/>
      <w:r>
        <w:rPr>
          <w:rFonts w:ascii="Times New Roman" w:hAnsi="Times New Roman"/>
          <w:b/>
          <w:color w:val="000000"/>
          <w:sz w:val="20"/>
          <w:u w:val="single"/>
        </w:rPr>
        <w:t>PART II. OTHER INFORMATION</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spacing w:before="240" w:after="283"/>
        <w:jc w:val="left"/>
        <w:rPr>
          <w:rFonts w:ascii="Times New Roman" w:hAnsi="Times New Roman"/>
          <w:b/>
          <w:color w:val="000000"/>
          <w:sz w:val="20"/>
          <w:u w:val="single"/>
        </w:rPr>
      </w:pPr>
      <w:bookmarkStart w:id="19" w:name="item_1a_risk_factors"/>
      <w:bookmarkEnd w:id="19"/>
      <w:r>
        <w:rPr>
          <w:rFonts w:ascii="Times New Roman" w:hAnsi="Times New Roman"/>
          <w:b/>
          <w:color w:val="000000"/>
          <w:sz w:val="20"/>
          <w:u w:val="single"/>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Our Annual Report on Form 10-K for the year ended December 31, 2025 includes a listing of risk factors to be considered by investors in our securities. There have been no material changes in our risk factors from those set forth in our Annual Report on Form 10-K for the year ended December 31, 2025.</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left"/>
        <w:rPr>
          <w:rFonts w:ascii="Times New Roman" w:hAnsi="Times New Roman"/>
          <w:sz w:val="20"/>
        </w:rPr>
      </w:pPr>
      <w:bookmarkStart w:id="20" w:name="item_5_other_information"/>
      <w:bookmarkEnd w:id="20"/>
      <w:r>
        <w:rPr>
          <w:rFonts w:ascii="Times New Roman" w:hAnsi="Times New Roman"/>
          <w:b/>
          <w:color w:val="000000"/>
          <w:sz w:val="20"/>
          <w:u w:val="single"/>
        </w:rPr>
        <w:t>Item 5.</w:t>
      </w:r>
      <w:r>
        <w:rPr>
          <w:rFonts w:ascii="Times New Roman" w:hAnsi="Times New Roman"/>
          <w:color w:val="000000"/>
          <w:sz w:val="20"/>
        </w:rPr>
        <w:t xml:space="preserve"> </w:t>
      </w:r>
      <w:r>
        <w:rPr>
          <w:rFonts w:ascii="Times New Roman" w:hAnsi="Times New Roman"/>
          <w:b/>
          <w:color w:val="000000"/>
          <w:sz w:val="20"/>
          <w:u w:val="single"/>
        </w:rPr>
        <w:t>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the Trust’s Board of Trustees or officers adopted, modified or terminated a Rule 10b5-1 trading arrangement or a non-Rule 10b5-1 trading arrangement during the Trust’s quarter ended June 30, 2026, as such terms are defined under Item 408(a) of Regulation S-K.</w:t>
      </w:r>
    </w:p>
    <w:p>
      <w:pPr>
        <w:pStyle w:val="TextBody"/>
        <w:bidi w:val="0"/>
        <w:spacing w:before="240" w:after="283"/>
        <w:jc w:val="left"/>
        <w:rPr>
          <w:rFonts w:ascii="Times New Roman" w:hAnsi="Times New Roman"/>
          <w:b/>
          <w:color w:val="000000"/>
          <w:sz w:val="20"/>
          <w:u w:val="single"/>
        </w:rPr>
      </w:pPr>
      <w:bookmarkStart w:id="21" w:name="item_6_exhibits"/>
      <w:bookmarkEnd w:id="21"/>
      <w:r>
        <w:rPr>
          <w:rFonts w:ascii="Times New Roman" w:hAnsi="Times New Roman"/>
          <w:b/>
          <w:color w:val="000000"/>
          <w:sz w:val="20"/>
          <w:u w:val="single"/>
        </w:rPr>
        <w:t>Item 6.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Exhibits:</w:t>
      </w:r>
    </w:p>
    <w:tbl>
      <w:tblPr>
        <w:tblW w:w="10205" w:type="dxa"/>
        <w:jc w:val="left"/>
        <w:tblInd w:w="0" w:type="dxa"/>
        <w:tblLayout w:type="fixed"/>
        <w:tblCellMar>
          <w:top w:w="28" w:type="dxa"/>
          <w:left w:w="28" w:type="dxa"/>
          <w:bottom w:w="28" w:type="dxa"/>
          <w:right w:w="28" w:type="dxa"/>
        </w:tblCellMar>
      </w:tblPr>
      <w:tblGrid>
        <w:gridCol w:w="680"/>
        <w:gridCol w:w="146"/>
        <w:gridCol w:w="9379"/>
      </w:tblGrid>
      <w:tr>
        <w:trPr/>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First Amendment to Second Amended and Restated Credit Agreement, dated as of April 21, 2026, among Universal Health Realty Income Trust, the Subsidiary Guarantors party hereto, the Lenders Party thereto and Wells Fargo Bank, National Association, as Administrative Agent, previously filed as Exhibit 10.1 to our 8-K filed on April 24, 2026, is hereby incorporated by reference.</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31_1.htm">
              <w:r>
                <w:rPr>
                  <w:rStyle w:val="InternetLink"/>
                  <w:rFonts w:ascii="Times New Roman" w:hAnsi="Times New Roman"/>
                  <w:color w:val="0000FF"/>
                  <w:sz w:val="20"/>
                  <w:u w:val="single"/>
                </w:rPr>
                <w:t>Certification of the Chief Executive Officer pursuant to Rule 13a-14(a)/15d-14(a) under the Securities Exchange Act of 1934, as amended.</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31_2.htm">
              <w:r>
                <w:rPr>
                  <w:rStyle w:val="InternetLink"/>
                  <w:rFonts w:ascii="Times New Roman" w:hAnsi="Times New Roman"/>
                  <w:color w:val="0000FF"/>
                  <w:sz w:val="20"/>
                  <w:u w:val="single"/>
                </w:rPr>
                <w:t>Certification of the Chief Financial Officer pursuant to Rule 13a-14(a)/15d-14(a) under the Securities Exchange Act of 1934, as amended.</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iXBRL tags are embedded within the Inline XBRL document</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7573" w:type="dxa"/>
        <w:jc w:val="left"/>
        <w:tblInd w:w="0" w:type="dxa"/>
        <w:tblLayout w:type="fixed"/>
        <w:tblCellMar>
          <w:top w:w="28" w:type="dxa"/>
          <w:left w:w="28" w:type="dxa"/>
          <w:bottom w:w="28" w:type="dxa"/>
          <w:right w:w="28" w:type="dxa"/>
        </w:tblCellMar>
      </w:tblPr>
      <w:tblGrid>
        <w:gridCol w:w="1846"/>
        <w:gridCol w:w="146"/>
        <w:gridCol w:w="558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UNIVERSAL HEALTH REALTY INCOME TRUST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Alan B. Miller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B. Miller,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w:t>
            </w:r>
          </w:p>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Charles F. Boyle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Charles F. Boyle, Senior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bookmarkStart w:id="23" w:name="uht-ex31_1.htm"/>
      <w:bookmarkStart w:id="24" w:name="ksuht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Alan B. Miller,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Universal Health Realty Income Trust;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7, 2026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Alan B. Miller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uht-ex31_2.htm"/>
      <w:bookmarkStart w:id="26" w:name="ksuht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Charles F. Boyle,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Universal Health Realty Income Trust;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7, 2026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F. Boyle</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uht-ex32_1.htm"/>
      <w:bookmarkStart w:id="28" w:name="ksuhtex32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18 U.S.C. SECTION 1350,</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AS ADOPTED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SECTION 906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Universal Health Realty Income Trust (the “Trust”) on Form 10-Q for the quarter ended June 30, 2026, as filed with the Securities and Exchange Commission on the date hereof (the “Report”), I, Alan B. Miller, President and Chief Executive Officer of the Trust, hereby certify, pursuant to 18 U.S.C. § 1350, as adopted pursuant to § 906 of the Sarbanes-Oxley Act of 2002, that to the best of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Trust at the end of, and for the period covered by, the Report.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Alan B. Miller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Trust and will be retained and furnished to the Securities and Exchange Commission or its staff upon request.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uht-ex32_2.htm"/>
      <w:bookmarkStart w:id="30" w:name="ksuhtex32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18 U.S.C. SECTION 1350,</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AS ADOPTED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SECTION 906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Universal Health Realty Income Trust (the “Trust”) on Form 10-Q for the quarter ended June 30, 2026, as filed with the Securities and Exchange Commission on the date hereof (the “Report”), I, Charles F. Boyle, Senior Vice President and Chief Financial Officer of the Trust, hereby certify, pursuant to 18 U.S.C. § 1350, as adopted pursuant to § 906 of the Sarbanes-Oxley Act of 2002, that to the best of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Trust at the end of, and for the period covered by, the Report.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F. Boyle</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Trust and will be retained and furnished to the Securities and Exchange Commission or its staff upon request.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8783/000119312526175196/uht-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21583</Words>
  <Characters>115545</Characters>
  <CharactersWithSpaces>138659</CharactersWithSpaces>
  <Paragraphs>5159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