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Domb Michael Allan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1845 WALNUT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ind w:right="135"/>
        <w:spacing w:after="0" w:line="275" w:lineRule="auto"/>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UNIVERSAL HEALTH REALTY</w:t>
        </w:r>
      </w:hyperlink>
      <w:r>
        <w:rPr>
          <w:rFonts w:ascii="Times New Roman" w:cs="Times New Roman" w:eastAsia="Times New Roman" w:hAnsi="Times New Roman"/>
          <w:sz w:val="20"/>
          <w:szCs w:val="20"/>
          <w:u w:val="single" w:color="auto"/>
          <w:color w:val="0000EE"/>
        </w:rPr>
        <w:t xml:space="preserve"> </w:t>
      </w:r>
      <w:hyperlink r:id="rId14">
        <w:r>
          <w:rPr>
            <w:rFonts w:ascii="Times New Roman" w:cs="Times New Roman" w:eastAsia="Times New Roman" w:hAnsi="Times New Roman"/>
            <w:sz w:val="20"/>
            <w:szCs w:val="20"/>
            <w:u w:val="single" w:color="auto"/>
            <w:color w:val="0000EE"/>
          </w:rPr>
          <w:t>INCOME TRUST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UHT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hyperlink>
    </w:p>
    <w:p>
      <w:pPr>
        <w:spacing w:after="0" w:line="237"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06/10/2026</w:t>
      </w:r>
    </w:p>
    <w:p>
      <w:pPr>
        <w:spacing w:after="0" w:line="20" w:lineRule="exact"/>
        <w:rPr>
          <w:sz w:val="20"/>
          <w:szCs w:val="20"/>
          <w:color w:val="auto"/>
        </w:rPr>
      </w:pPr>
      <w:r>
        <w:rPr>
          <w:sz w:val="20"/>
          <w:szCs w:val="20"/>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7" w:lineRule="exact"/>
        <w:rPr>
          <w:sz w:val="20"/>
          <w:szCs w:val="20"/>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200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107"/>
        </w:trPr>
        <w:tc>
          <w:tcPr>
            <w:tcW w:w="2040" w:type="dxa"/>
            <w:vAlign w:val="bottom"/>
            <w:gridSpan w:val="2"/>
            <w:vMerge w:val="continue"/>
          </w:tcPr>
          <w:p>
            <w:pPr>
              <w:spacing w:after="0"/>
              <w:rPr>
                <w:sz w:val="9"/>
                <w:szCs w:val="9"/>
                <w:color w:val="auto"/>
              </w:rPr>
            </w:pPr>
          </w:p>
        </w:tc>
        <w:tc>
          <w:tcPr>
            <w:tcW w:w="1640" w:type="dxa"/>
            <w:vAlign w:val="bottom"/>
          </w:tcPr>
          <w:p>
            <w:pPr>
              <w:spacing w:after="0"/>
              <w:rPr>
                <w:sz w:val="9"/>
                <w:szCs w:val="9"/>
                <w:color w:val="auto"/>
              </w:rPr>
            </w:pPr>
          </w:p>
        </w:tc>
        <w:tc>
          <w:tcPr>
            <w:tcW w:w="3760" w:type="dxa"/>
            <w:vAlign w:val="bottom"/>
          </w:tcPr>
          <w:p>
            <w:pPr>
              <w:spacing w:after="0"/>
              <w:rPr>
                <w:sz w:val="9"/>
                <w:szCs w:val="9"/>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4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0000FF"/>
              </w:rPr>
              <w:t>19103</w:t>
            </w:r>
          </w:p>
        </w:tc>
        <w:tc>
          <w:tcPr>
            <w:tcW w:w="3760" w:type="dxa"/>
            <w:vAlign w:val="bottom"/>
          </w:tcPr>
          <w:p>
            <w:pPr>
              <w:spacing w:after="0"/>
              <w:rPr>
                <w:sz w:val="9"/>
                <w:szCs w:val="9"/>
                <w:color w:val="auto"/>
              </w:rPr>
            </w:pPr>
          </w:p>
        </w:tc>
        <w:tc>
          <w:tcPr>
            <w:tcW w:w="3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3760" w:type="dxa"/>
            <w:vAlign w:val="bottom"/>
          </w:tcPr>
          <w:p>
            <w:pPr>
              <w:spacing w:after="0"/>
              <w:rPr>
                <w:sz w:val="11"/>
                <w:szCs w:val="11"/>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40" w:type="dxa"/>
            <w:vAlign w:val="bottom"/>
          </w:tcPr>
          <w:p>
            <w:pPr>
              <w:spacing w:after="0"/>
              <w:rPr>
                <w:sz w:val="7"/>
                <w:szCs w:val="7"/>
                <w:color w:val="auto"/>
              </w:rPr>
            </w:pPr>
          </w:p>
        </w:tc>
        <w:tc>
          <w:tcPr>
            <w:tcW w:w="200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Shares Of Beneficial Interest</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819</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13,169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6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shares of beneficial interest were granted pursuant to the Amended and Restated Universal Health Realty Income Trust 2007 Restricted Stock Plan and shall vest on the second anniversary of the grant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Charles F. Boyle, attorney-  </w:t>
      </w:r>
      <w:r>
        <w:rPr>
          <w:rFonts w:ascii="Times New Roman" w:cs="Times New Roman" w:eastAsia="Times New Roman" w:hAnsi="Times New Roman"/>
          <w:sz w:val="33"/>
          <w:szCs w:val="33"/>
          <w:color w:val="0000FF"/>
          <w:vertAlign w:val="subscript"/>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6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Mr. Domb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28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2837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4777" TargetMode="External"/><Relationship Id="rId14" Type="http://schemas.openxmlformats.org/officeDocument/2006/relationships/hyperlink" Target="http://www.sec.gov/cgi-bin/browse-edgar?action=getcompany&amp;CIK=00007987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2026-06-11T15:33:10Z</dcterms:created>
  <dcterms:modified xsi:type="dcterms:W3CDTF">2026-06-11T15:33:10Z</dcterms:modified>
</cp:coreProperties>
</file>